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57294" w14:textId="358AF9F6" w:rsidR="000C0EED" w:rsidRPr="008C6BE4" w:rsidRDefault="000C0EED" w:rsidP="008C6BE4">
      <w:pPr>
        <w:pStyle w:val="NormalWeb"/>
        <w:spacing w:before="0" w:beforeAutospacing="0" w:after="160" w:afterAutospacing="0"/>
        <w:rPr>
          <w:rFonts w:asciiTheme="majorBidi" w:eastAsiaTheme="minorHAnsi" w:hAnsiTheme="majorBidi" w:cstheme="majorBidi"/>
          <w:b/>
          <w:bCs/>
        </w:rPr>
      </w:pPr>
    </w:p>
    <w:p w14:paraId="24F095A2" w14:textId="6C5805B6" w:rsidR="00C82B94" w:rsidRPr="008C6BE4" w:rsidRDefault="009523D3" w:rsidP="008C6BE4">
      <w:pPr>
        <w:pStyle w:val="NormalWeb"/>
        <w:spacing w:before="0" w:beforeAutospacing="0" w:after="160" w:afterAutospacing="0"/>
        <w:jc w:val="center"/>
        <w:rPr>
          <w:rFonts w:asciiTheme="majorBidi" w:eastAsiaTheme="minorHAnsi" w:hAnsiTheme="majorBidi" w:cstheme="majorBidi"/>
          <w:b/>
          <w:bCs/>
        </w:rPr>
      </w:pPr>
      <w:r w:rsidRPr="008C6BE4">
        <w:rPr>
          <w:rFonts w:asciiTheme="majorBidi" w:eastAsiaTheme="minorHAnsi" w:hAnsiTheme="majorBidi" w:cstheme="majorBidi"/>
          <w:b/>
          <w:bCs/>
        </w:rPr>
        <w:t xml:space="preserve">The Comparative Effectiveness </w:t>
      </w:r>
      <w:proofErr w:type="gramStart"/>
      <w:r w:rsidRPr="008C6BE4">
        <w:rPr>
          <w:rFonts w:asciiTheme="majorBidi" w:eastAsiaTheme="minorHAnsi" w:hAnsiTheme="majorBidi" w:cstheme="majorBidi"/>
          <w:b/>
          <w:bCs/>
        </w:rPr>
        <w:t>Of</w:t>
      </w:r>
      <w:proofErr w:type="gramEnd"/>
      <w:r w:rsidRPr="008C6BE4">
        <w:rPr>
          <w:rFonts w:asciiTheme="majorBidi" w:eastAsiaTheme="minorHAnsi" w:hAnsiTheme="majorBidi" w:cstheme="majorBidi"/>
          <w:b/>
          <w:bCs/>
        </w:rPr>
        <w:t xml:space="preserve"> Four Categories Of </w:t>
      </w:r>
      <w:proofErr w:type="spellStart"/>
      <w:r w:rsidRPr="008C6BE4">
        <w:rPr>
          <w:rFonts w:asciiTheme="majorBidi" w:eastAsiaTheme="minorHAnsi" w:hAnsiTheme="majorBidi" w:cstheme="majorBidi"/>
          <w:b/>
          <w:bCs/>
        </w:rPr>
        <w:t>Antipssychotic</w:t>
      </w:r>
      <w:proofErr w:type="spellEnd"/>
      <w:r w:rsidRPr="008C6BE4">
        <w:rPr>
          <w:rFonts w:asciiTheme="majorBidi" w:eastAsiaTheme="minorHAnsi" w:hAnsiTheme="majorBidi" w:cstheme="majorBidi"/>
          <w:b/>
          <w:bCs/>
        </w:rPr>
        <w:t xml:space="preserve"> Treatment Regimens Against The Three Major Symptoms Domains In Schizophrenia Spectrum Disorder</w:t>
      </w:r>
    </w:p>
    <w:p w14:paraId="65A363EF" w14:textId="1D7A5A7A" w:rsidR="007855F9" w:rsidRPr="000576B9" w:rsidRDefault="000576B9" w:rsidP="008C6BE4">
      <w:pPr>
        <w:spacing w:line="240" w:lineRule="auto"/>
        <w:jc w:val="center"/>
        <w:rPr>
          <w:rFonts w:asciiTheme="majorBidi" w:hAnsiTheme="majorBidi" w:cstheme="majorBidi"/>
          <w:i/>
          <w:iCs/>
          <w:sz w:val="24"/>
          <w:szCs w:val="24"/>
        </w:rPr>
      </w:pPr>
      <w:proofErr w:type="spellStart"/>
      <w:r w:rsidRPr="000576B9">
        <w:rPr>
          <w:rFonts w:asciiTheme="majorBidi" w:hAnsiTheme="majorBidi" w:cstheme="majorBidi"/>
          <w:i/>
          <w:iCs/>
          <w:sz w:val="24"/>
          <w:szCs w:val="24"/>
        </w:rPr>
        <w:t>Rafat</w:t>
      </w:r>
      <w:proofErr w:type="spellEnd"/>
      <w:r w:rsidRPr="000576B9">
        <w:rPr>
          <w:rFonts w:asciiTheme="majorBidi" w:hAnsiTheme="majorBidi" w:cstheme="majorBidi"/>
          <w:i/>
          <w:iCs/>
          <w:sz w:val="24"/>
          <w:szCs w:val="24"/>
        </w:rPr>
        <w:t xml:space="preserve"> Hani </w:t>
      </w:r>
      <w:proofErr w:type="spellStart"/>
      <w:proofErr w:type="gramStart"/>
      <w:r w:rsidRPr="000576B9">
        <w:rPr>
          <w:rFonts w:asciiTheme="majorBidi" w:hAnsiTheme="majorBidi" w:cstheme="majorBidi"/>
          <w:i/>
          <w:iCs/>
          <w:sz w:val="24"/>
          <w:szCs w:val="24"/>
        </w:rPr>
        <w:t>aheAburumman,MD</w:t>
      </w:r>
      <w:proofErr w:type="spellEnd"/>
      <w:proofErr w:type="gramEnd"/>
      <w:r w:rsidRPr="000576B9">
        <w:rPr>
          <w:rFonts w:asciiTheme="majorBidi" w:hAnsiTheme="majorBidi" w:cstheme="majorBidi"/>
          <w:i/>
          <w:iCs/>
          <w:sz w:val="24"/>
          <w:szCs w:val="24"/>
        </w:rPr>
        <w:t xml:space="preserve">*,Maher A J </w:t>
      </w:r>
      <w:proofErr w:type="spellStart"/>
      <w:r w:rsidRPr="000576B9">
        <w:rPr>
          <w:rFonts w:asciiTheme="majorBidi" w:hAnsiTheme="majorBidi" w:cstheme="majorBidi"/>
          <w:i/>
          <w:iCs/>
          <w:sz w:val="24"/>
          <w:szCs w:val="24"/>
        </w:rPr>
        <w:t>Alasasleh,MD</w:t>
      </w:r>
      <w:proofErr w:type="spellEnd"/>
      <w:r w:rsidRPr="000576B9">
        <w:rPr>
          <w:rFonts w:asciiTheme="majorBidi" w:hAnsiTheme="majorBidi" w:cstheme="majorBidi"/>
          <w:i/>
          <w:iCs/>
          <w:sz w:val="24"/>
          <w:szCs w:val="24"/>
        </w:rPr>
        <w:t xml:space="preserve">*,Najib Elbert Najib </w:t>
      </w:r>
      <w:proofErr w:type="spellStart"/>
      <w:r w:rsidRPr="000576B9">
        <w:rPr>
          <w:rFonts w:asciiTheme="majorBidi" w:hAnsiTheme="majorBidi" w:cstheme="majorBidi"/>
          <w:i/>
          <w:iCs/>
          <w:sz w:val="24"/>
          <w:szCs w:val="24"/>
        </w:rPr>
        <w:t>Alqsous,MD</w:t>
      </w:r>
      <w:proofErr w:type="spellEnd"/>
      <w:r w:rsidRPr="000576B9">
        <w:rPr>
          <w:rFonts w:asciiTheme="majorBidi" w:hAnsiTheme="majorBidi" w:cstheme="majorBidi"/>
          <w:i/>
          <w:iCs/>
          <w:sz w:val="24"/>
          <w:szCs w:val="24"/>
        </w:rPr>
        <w:t xml:space="preserve">*,Mohammad </w:t>
      </w:r>
      <w:proofErr w:type="spellStart"/>
      <w:r w:rsidRPr="000576B9">
        <w:rPr>
          <w:rFonts w:asciiTheme="majorBidi" w:hAnsiTheme="majorBidi" w:cstheme="majorBidi"/>
          <w:i/>
          <w:iCs/>
          <w:sz w:val="24"/>
          <w:szCs w:val="24"/>
        </w:rPr>
        <w:t>Wa’el</w:t>
      </w:r>
      <w:proofErr w:type="spellEnd"/>
      <w:r w:rsidRPr="000576B9">
        <w:rPr>
          <w:rFonts w:asciiTheme="majorBidi" w:hAnsiTheme="majorBidi" w:cstheme="majorBidi"/>
          <w:i/>
          <w:iCs/>
          <w:sz w:val="24"/>
          <w:szCs w:val="24"/>
        </w:rPr>
        <w:t xml:space="preserve"> </w:t>
      </w:r>
      <w:proofErr w:type="spellStart"/>
      <w:r w:rsidRPr="000576B9">
        <w:rPr>
          <w:rFonts w:asciiTheme="majorBidi" w:hAnsiTheme="majorBidi" w:cstheme="majorBidi"/>
          <w:i/>
          <w:iCs/>
          <w:sz w:val="24"/>
          <w:szCs w:val="24"/>
        </w:rPr>
        <w:t>Faeq</w:t>
      </w:r>
      <w:proofErr w:type="spellEnd"/>
      <w:r w:rsidRPr="000576B9">
        <w:rPr>
          <w:rFonts w:asciiTheme="majorBidi" w:hAnsiTheme="majorBidi" w:cstheme="majorBidi"/>
          <w:i/>
          <w:iCs/>
          <w:sz w:val="24"/>
          <w:szCs w:val="24"/>
        </w:rPr>
        <w:t xml:space="preserve"> </w:t>
      </w:r>
      <w:proofErr w:type="spellStart"/>
      <w:r w:rsidRPr="000576B9">
        <w:rPr>
          <w:rFonts w:asciiTheme="majorBidi" w:hAnsiTheme="majorBidi" w:cstheme="majorBidi"/>
          <w:i/>
          <w:iCs/>
          <w:sz w:val="24"/>
          <w:szCs w:val="24"/>
        </w:rPr>
        <w:t>Hindeyeh,MD</w:t>
      </w:r>
      <w:proofErr w:type="spellEnd"/>
      <w:r w:rsidRPr="000576B9">
        <w:rPr>
          <w:rFonts w:asciiTheme="majorBidi" w:hAnsiTheme="majorBidi" w:cstheme="majorBidi"/>
          <w:i/>
          <w:iCs/>
          <w:sz w:val="24"/>
          <w:szCs w:val="24"/>
        </w:rPr>
        <w:t>*,</w:t>
      </w:r>
      <w:proofErr w:type="spellStart"/>
      <w:r w:rsidRPr="000576B9">
        <w:rPr>
          <w:rFonts w:asciiTheme="majorBidi" w:hAnsiTheme="majorBidi" w:cstheme="majorBidi"/>
          <w:i/>
          <w:iCs/>
          <w:sz w:val="24"/>
          <w:szCs w:val="24"/>
        </w:rPr>
        <w:t>Hala</w:t>
      </w:r>
      <w:proofErr w:type="spellEnd"/>
      <w:r w:rsidRPr="000576B9">
        <w:rPr>
          <w:rFonts w:asciiTheme="majorBidi" w:hAnsiTheme="majorBidi" w:cstheme="majorBidi"/>
          <w:i/>
          <w:iCs/>
          <w:sz w:val="24"/>
          <w:szCs w:val="24"/>
        </w:rPr>
        <w:t xml:space="preserve"> </w:t>
      </w:r>
      <w:proofErr w:type="spellStart"/>
      <w:r w:rsidRPr="000576B9">
        <w:rPr>
          <w:rFonts w:asciiTheme="majorBidi" w:hAnsiTheme="majorBidi" w:cstheme="majorBidi"/>
          <w:i/>
          <w:iCs/>
          <w:sz w:val="24"/>
          <w:szCs w:val="24"/>
        </w:rPr>
        <w:t>Abedl</w:t>
      </w:r>
      <w:proofErr w:type="spellEnd"/>
      <w:r w:rsidRPr="000576B9">
        <w:rPr>
          <w:rFonts w:asciiTheme="majorBidi" w:hAnsiTheme="majorBidi" w:cstheme="majorBidi"/>
          <w:i/>
          <w:iCs/>
          <w:sz w:val="24"/>
          <w:szCs w:val="24"/>
        </w:rPr>
        <w:t xml:space="preserve"> Hamid  </w:t>
      </w:r>
      <w:proofErr w:type="spellStart"/>
      <w:r w:rsidRPr="000576B9">
        <w:rPr>
          <w:rFonts w:asciiTheme="majorBidi" w:hAnsiTheme="majorBidi" w:cstheme="majorBidi"/>
          <w:i/>
          <w:iCs/>
          <w:sz w:val="24"/>
          <w:szCs w:val="24"/>
        </w:rPr>
        <w:t>Najada,MD</w:t>
      </w:r>
      <w:proofErr w:type="spellEnd"/>
      <w:r w:rsidRPr="000576B9">
        <w:rPr>
          <w:rFonts w:asciiTheme="majorBidi" w:hAnsiTheme="majorBidi" w:cstheme="majorBidi"/>
          <w:i/>
          <w:iCs/>
          <w:sz w:val="24"/>
          <w:szCs w:val="24"/>
        </w:rPr>
        <w:t>*</w:t>
      </w:r>
    </w:p>
    <w:p w14:paraId="6AC6A761" w14:textId="03043ECA" w:rsidR="008F3AB8" w:rsidRPr="008C6BE4" w:rsidRDefault="008C6BE4" w:rsidP="008C6BE4">
      <w:pPr>
        <w:spacing w:line="240" w:lineRule="auto"/>
        <w:jc w:val="center"/>
        <w:rPr>
          <w:rFonts w:asciiTheme="majorBidi" w:hAnsiTheme="majorBidi" w:cstheme="majorBidi"/>
          <w:b/>
          <w:bCs/>
          <w:sz w:val="24"/>
          <w:szCs w:val="24"/>
        </w:rPr>
      </w:pPr>
      <w:r w:rsidRPr="008C6BE4">
        <w:rPr>
          <w:rFonts w:asciiTheme="majorBidi" w:hAnsiTheme="majorBidi" w:cstheme="majorBidi"/>
          <w:b/>
          <w:bCs/>
          <w:sz w:val="24"/>
          <w:szCs w:val="24"/>
        </w:rPr>
        <w:t>ABSTRACT</w:t>
      </w:r>
    </w:p>
    <w:p w14:paraId="158FFD2B" w14:textId="77777777" w:rsidR="004B3537" w:rsidRPr="008C6BE4" w:rsidRDefault="008F3AB8" w:rsidP="008C6BE4">
      <w:pPr>
        <w:spacing w:line="240" w:lineRule="auto"/>
        <w:jc w:val="both"/>
        <w:rPr>
          <w:rFonts w:asciiTheme="majorBidi" w:hAnsiTheme="majorBidi" w:cstheme="majorBidi"/>
          <w:sz w:val="24"/>
          <w:szCs w:val="24"/>
        </w:rPr>
      </w:pPr>
      <w:r w:rsidRPr="008C6BE4">
        <w:rPr>
          <w:rFonts w:asciiTheme="majorBidi" w:hAnsiTheme="majorBidi" w:cstheme="majorBidi"/>
          <w:b/>
          <w:bCs/>
          <w:sz w:val="24"/>
          <w:szCs w:val="24"/>
        </w:rPr>
        <w:t xml:space="preserve">Aims: </w:t>
      </w:r>
      <w:r w:rsidR="004B3537" w:rsidRPr="008C6BE4">
        <w:rPr>
          <w:rFonts w:asciiTheme="majorBidi" w:hAnsiTheme="majorBidi" w:cstheme="majorBidi"/>
          <w:sz w:val="24"/>
          <w:szCs w:val="24"/>
        </w:rPr>
        <w:t>This study focused on the responsiveness of older and newer generations of oral and injectable long-acting APDs to positive, negative, and psychopathological symptoms. To study these four APD classes' effects on managing schizophrenia's three dimensions, patient adherence was also considered.</w:t>
      </w:r>
    </w:p>
    <w:p w14:paraId="32A6D7E5" w14:textId="0058E62B" w:rsidR="004B3537" w:rsidRPr="008C6BE4" w:rsidRDefault="00C61233" w:rsidP="008C6BE4">
      <w:pPr>
        <w:spacing w:line="240" w:lineRule="auto"/>
        <w:jc w:val="both"/>
        <w:rPr>
          <w:rFonts w:asciiTheme="majorBidi" w:hAnsiTheme="majorBidi" w:cstheme="majorBidi"/>
          <w:sz w:val="24"/>
          <w:szCs w:val="24"/>
          <w:shd w:val="clear" w:color="auto" w:fill="FFFFFF"/>
        </w:rPr>
      </w:pPr>
      <w:r w:rsidRPr="008C6BE4">
        <w:rPr>
          <w:rFonts w:asciiTheme="majorBidi" w:hAnsiTheme="majorBidi" w:cstheme="majorBidi"/>
          <w:b/>
          <w:bCs/>
          <w:color w:val="000000"/>
          <w:sz w:val="24"/>
          <w:szCs w:val="24"/>
        </w:rPr>
        <w:t>Methods:</w:t>
      </w:r>
      <w:r w:rsidRPr="008C6BE4">
        <w:rPr>
          <w:rFonts w:asciiTheme="majorBidi" w:hAnsiTheme="majorBidi" w:cstheme="majorBidi"/>
          <w:color w:val="000000"/>
          <w:sz w:val="24"/>
          <w:szCs w:val="24"/>
        </w:rPr>
        <w:t xml:space="preserve"> </w:t>
      </w:r>
      <w:r w:rsidR="004B3537" w:rsidRPr="008C6BE4">
        <w:rPr>
          <w:rFonts w:asciiTheme="majorBidi" w:hAnsiTheme="majorBidi" w:cstheme="majorBidi"/>
          <w:sz w:val="24"/>
          <w:szCs w:val="24"/>
          <w:shd w:val="clear" w:color="auto" w:fill="FFFFFF"/>
        </w:rPr>
        <w:t xml:space="preserve">Between January 2021 and January 2023, the Princess Aisha </w:t>
      </w:r>
      <w:proofErr w:type="spellStart"/>
      <w:r w:rsidR="004B3537" w:rsidRPr="008C6BE4">
        <w:rPr>
          <w:rFonts w:asciiTheme="majorBidi" w:hAnsiTheme="majorBidi" w:cstheme="majorBidi"/>
          <w:sz w:val="24"/>
          <w:szCs w:val="24"/>
          <w:shd w:val="clear" w:color="auto" w:fill="FFFFFF"/>
        </w:rPr>
        <w:t>Bint</w:t>
      </w:r>
      <w:proofErr w:type="spellEnd"/>
      <w:r w:rsidR="004B3537" w:rsidRPr="008C6BE4">
        <w:rPr>
          <w:rFonts w:asciiTheme="majorBidi" w:hAnsiTheme="majorBidi" w:cstheme="majorBidi"/>
          <w:sz w:val="24"/>
          <w:szCs w:val="24"/>
          <w:shd w:val="clear" w:color="auto" w:fill="FFFFFF"/>
        </w:rPr>
        <w:t xml:space="preserve"> Al Hussein (</w:t>
      </w:r>
      <w:proofErr w:type="spellStart"/>
      <w:r w:rsidR="004B3537" w:rsidRPr="008C6BE4">
        <w:rPr>
          <w:rFonts w:asciiTheme="majorBidi" w:hAnsiTheme="majorBidi" w:cstheme="majorBidi"/>
          <w:sz w:val="24"/>
          <w:szCs w:val="24"/>
          <w:shd w:val="clear" w:color="auto" w:fill="FFFFFF"/>
        </w:rPr>
        <w:t>Marka</w:t>
      </w:r>
      <w:proofErr w:type="spellEnd"/>
      <w:r w:rsidR="004B3537" w:rsidRPr="008C6BE4">
        <w:rPr>
          <w:rFonts w:asciiTheme="majorBidi" w:hAnsiTheme="majorBidi" w:cstheme="majorBidi"/>
          <w:sz w:val="24"/>
          <w:szCs w:val="24"/>
          <w:shd w:val="clear" w:color="auto" w:fill="FFFFFF"/>
        </w:rPr>
        <w:t xml:space="preserve"> Military Medical Centre) Medical Centre diagnosed adults and aged psychiatric patients with schizophrenia-spectrum disorders (including schizophrenia, schizoaffective disorder, schizophreniform disorder, delusional disorder, and psychotic disorders not otherwise specified). The Positive and Negative Syndrome Scale (PANSS) assessed baseline severity and therapeutic effectiveness. This method uses </w:t>
      </w:r>
      <w:r w:rsidR="00AF1B27" w:rsidRPr="008C6BE4">
        <w:rPr>
          <w:rFonts w:asciiTheme="majorBidi" w:hAnsiTheme="majorBidi" w:cstheme="majorBidi"/>
          <w:sz w:val="24"/>
          <w:szCs w:val="24"/>
          <w:shd w:val="clear" w:color="auto" w:fill="FFFFFF"/>
        </w:rPr>
        <w:t>multiple linear regression modeling and c</w:t>
      </w:r>
      <w:r w:rsidR="004B3537" w:rsidRPr="008C6BE4">
        <w:rPr>
          <w:rFonts w:asciiTheme="majorBidi" w:hAnsiTheme="majorBidi" w:cstheme="majorBidi"/>
          <w:sz w:val="24"/>
          <w:szCs w:val="24"/>
          <w:shd w:val="clear" w:color="auto" w:fill="FFFFFF"/>
        </w:rPr>
        <w:t>hi-square tests show other variables. This study use</w:t>
      </w:r>
      <w:r w:rsidR="00AF1B27" w:rsidRPr="008C6BE4">
        <w:rPr>
          <w:rFonts w:asciiTheme="majorBidi" w:hAnsiTheme="majorBidi" w:cstheme="majorBidi"/>
          <w:sz w:val="24"/>
          <w:szCs w:val="24"/>
          <w:shd w:val="clear" w:color="auto" w:fill="FFFFFF"/>
        </w:rPr>
        <w:t>d</w:t>
      </w:r>
      <w:r w:rsidR="004B3537" w:rsidRPr="008C6BE4">
        <w:rPr>
          <w:rFonts w:asciiTheme="majorBidi" w:hAnsiTheme="majorBidi" w:cstheme="majorBidi"/>
          <w:sz w:val="24"/>
          <w:szCs w:val="24"/>
          <w:shd w:val="clear" w:color="auto" w:fill="FFFFFF"/>
        </w:rPr>
        <w:t xml:space="preserve"> SPSS 25 with 5% significance.</w:t>
      </w:r>
    </w:p>
    <w:p w14:paraId="716D53FB" w14:textId="77777777" w:rsidR="00AF1B27" w:rsidRPr="008C6BE4" w:rsidRDefault="00C61233" w:rsidP="008C6BE4">
      <w:pPr>
        <w:spacing w:line="240" w:lineRule="auto"/>
        <w:jc w:val="both"/>
        <w:rPr>
          <w:rFonts w:asciiTheme="majorBidi" w:hAnsiTheme="majorBidi" w:cstheme="majorBidi"/>
          <w:sz w:val="24"/>
          <w:szCs w:val="24"/>
        </w:rPr>
      </w:pPr>
      <w:r w:rsidRPr="008C6BE4">
        <w:rPr>
          <w:rFonts w:asciiTheme="majorBidi" w:hAnsiTheme="majorBidi" w:cstheme="majorBidi"/>
          <w:b/>
          <w:bCs/>
          <w:color w:val="000000"/>
          <w:sz w:val="24"/>
          <w:szCs w:val="24"/>
        </w:rPr>
        <w:t xml:space="preserve">Results: </w:t>
      </w:r>
      <w:r w:rsidR="00AF1B27" w:rsidRPr="008C6BE4">
        <w:rPr>
          <w:rFonts w:asciiTheme="majorBidi" w:hAnsiTheme="majorBidi" w:cstheme="majorBidi"/>
          <w:sz w:val="24"/>
          <w:szCs w:val="24"/>
        </w:rPr>
        <w:t xml:space="preserve">A multiple linear regression analysis was conducted to predict responsiveness percentage in three </w:t>
      </w:r>
      <w:proofErr w:type="spellStart"/>
      <w:r w:rsidR="00AF1B27" w:rsidRPr="008C6BE4">
        <w:rPr>
          <w:rFonts w:asciiTheme="majorBidi" w:hAnsiTheme="majorBidi" w:cstheme="majorBidi"/>
          <w:sz w:val="24"/>
          <w:szCs w:val="24"/>
        </w:rPr>
        <w:t>psychosymptomatic</w:t>
      </w:r>
      <w:proofErr w:type="spellEnd"/>
      <w:r w:rsidR="00AF1B27" w:rsidRPr="008C6BE4">
        <w:rPr>
          <w:rFonts w:asciiTheme="majorBidi" w:hAnsiTheme="majorBidi" w:cstheme="majorBidi"/>
          <w:sz w:val="24"/>
          <w:szCs w:val="24"/>
        </w:rPr>
        <w:t xml:space="preserve"> domains based on patients' antipsychotic class and adherence patterns. The results showed a significant model in the positive and psychopathological domains, while not in the negative domain. The independent variables, antipsychotic class I-IV and patients' adherence pattern, were significant predictors for the positive and psychopathological domains. The study suggests that these factors can help improve patient outcomes and reduce the need for medication.</w:t>
      </w:r>
    </w:p>
    <w:p w14:paraId="2E8E76A9" w14:textId="5FD45FD5" w:rsidR="004B3537" w:rsidRPr="008C6BE4" w:rsidRDefault="00C61233" w:rsidP="008C6BE4">
      <w:pPr>
        <w:spacing w:line="240" w:lineRule="auto"/>
        <w:jc w:val="both"/>
        <w:rPr>
          <w:rFonts w:asciiTheme="majorBidi" w:hAnsiTheme="majorBidi" w:cstheme="majorBidi"/>
          <w:color w:val="000000"/>
          <w:sz w:val="24"/>
          <w:szCs w:val="24"/>
        </w:rPr>
      </w:pPr>
      <w:r w:rsidRPr="008C6BE4">
        <w:rPr>
          <w:rFonts w:asciiTheme="majorBidi" w:hAnsiTheme="majorBidi" w:cstheme="majorBidi"/>
          <w:b/>
          <w:bCs/>
          <w:color w:val="000000"/>
          <w:sz w:val="24"/>
          <w:szCs w:val="24"/>
        </w:rPr>
        <w:t xml:space="preserve">Conclusion: </w:t>
      </w:r>
      <w:r w:rsidR="004B3537" w:rsidRPr="008C6BE4">
        <w:rPr>
          <w:rFonts w:asciiTheme="majorBidi" w:hAnsiTheme="majorBidi" w:cstheme="majorBidi"/>
          <w:color w:val="000000"/>
          <w:sz w:val="24"/>
          <w:szCs w:val="24"/>
        </w:rPr>
        <w:t>The study found significant differences in clinical outcome dimensions across APD classes, including positive symptoms and psychopathological symptoms, indicating the main roles of first-generation APDs.</w:t>
      </w:r>
    </w:p>
    <w:p w14:paraId="370B9365" w14:textId="307012AE" w:rsidR="00E46516" w:rsidRDefault="00C61233" w:rsidP="008C6BE4">
      <w:pPr>
        <w:pBdr>
          <w:bottom w:val="single" w:sz="6" w:space="1" w:color="auto"/>
        </w:pBdr>
        <w:spacing w:line="240" w:lineRule="auto"/>
        <w:jc w:val="both"/>
        <w:rPr>
          <w:rFonts w:asciiTheme="majorBidi" w:hAnsiTheme="majorBidi" w:cstheme="majorBidi"/>
          <w:color w:val="000000"/>
        </w:rPr>
      </w:pPr>
      <w:r w:rsidRPr="008C6BE4">
        <w:rPr>
          <w:rFonts w:asciiTheme="majorBidi" w:hAnsiTheme="majorBidi" w:cstheme="majorBidi"/>
          <w:b/>
          <w:bCs/>
          <w:color w:val="000000"/>
        </w:rPr>
        <w:t>Keywords</w:t>
      </w:r>
      <w:r w:rsidRPr="008C6BE4">
        <w:rPr>
          <w:rFonts w:asciiTheme="majorBidi" w:hAnsiTheme="majorBidi" w:cstheme="majorBidi"/>
          <w:color w:val="000000"/>
        </w:rPr>
        <w:t xml:space="preserve">: </w:t>
      </w:r>
      <w:r w:rsidR="00F46047" w:rsidRPr="008C6BE4">
        <w:rPr>
          <w:rFonts w:asciiTheme="majorBidi" w:hAnsiTheme="majorBidi" w:cstheme="majorBidi"/>
          <w:color w:val="000000"/>
        </w:rPr>
        <w:t xml:space="preserve">Schizophrenia Spectrum Disorder; Oral and long-acting anti-psychotics; Psychiatric patients; Positive, negative, and psychopathology criteria. </w:t>
      </w:r>
    </w:p>
    <w:p w14:paraId="1C68D0DB" w14:textId="01883FA2" w:rsidR="00A34682" w:rsidRPr="008D611E" w:rsidRDefault="008D611E" w:rsidP="008C6BE4">
      <w:pPr>
        <w:pStyle w:val="Heading2"/>
        <w:spacing w:line="240" w:lineRule="auto"/>
        <w:rPr>
          <w:rFonts w:asciiTheme="majorBidi" w:hAnsiTheme="majorBidi"/>
          <w:b/>
          <w:bCs/>
          <w:color w:val="auto"/>
          <w:sz w:val="24"/>
          <w:szCs w:val="24"/>
        </w:rPr>
      </w:pPr>
      <w:r w:rsidRPr="008D611E">
        <w:rPr>
          <w:rFonts w:asciiTheme="majorBidi" w:hAnsiTheme="majorBidi"/>
          <w:b/>
          <w:bCs/>
          <w:color w:val="auto"/>
          <w:sz w:val="24"/>
          <w:szCs w:val="24"/>
        </w:rPr>
        <w:t>Introduction</w:t>
      </w:r>
    </w:p>
    <w:p w14:paraId="72636135" w14:textId="77777777" w:rsidR="008C6BE4" w:rsidRDefault="008C6BE4" w:rsidP="008C6BE4">
      <w:pPr>
        <w:pStyle w:val="NormalWeb"/>
        <w:pBdr>
          <w:bottom w:val="single" w:sz="6" w:space="1" w:color="auto"/>
        </w:pBdr>
        <w:ind w:firstLine="720"/>
        <w:jc w:val="both"/>
        <w:rPr>
          <w:rFonts w:asciiTheme="majorBidi" w:hAnsiTheme="majorBidi" w:cstheme="majorBidi"/>
          <w:color w:val="000000"/>
        </w:rPr>
        <w:sectPr w:rsidR="008C6BE4" w:rsidSect="008D611E">
          <w:pgSz w:w="12240" w:h="15840" w:code="1"/>
          <w:pgMar w:top="630" w:right="1440" w:bottom="1440" w:left="1440" w:header="720" w:footer="720" w:gutter="0"/>
          <w:cols w:space="720"/>
          <w:docGrid w:linePitch="360"/>
        </w:sectPr>
      </w:pPr>
    </w:p>
    <w:p w14:paraId="4A417DAA" w14:textId="6EA2B0BE" w:rsidR="008F512F" w:rsidRDefault="004B3537" w:rsidP="002D169D">
      <w:pPr>
        <w:pStyle w:val="NormalWeb"/>
        <w:pBdr>
          <w:bottom w:val="single" w:sz="6" w:space="1" w:color="auto"/>
        </w:pBdr>
        <w:jc w:val="both"/>
        <w:rPr>
          <w:rFonts w:asciiTheme="majorBidi" w:hAnsiTheme="majorBidi" w:cstheme="majorBidi"/>
          <w:b/>
          <w:bCs/>
          <w:color w:val="000000"/>
          <w:vertAlign w:val="superscript"/>
        </w:rPr>
      </w:pPr>
      <w:r w:rsidRPr="008C6BE4">
        <w:rPr>
          <w:rFonts w:asciiTheme="majorBidi" w:hAnsiTheme="majorBidi" w:cstheme="majorBidi"/>
          <w:color w:val="000000"/>
        </w:rPr>
        <w:t xml:space="preserve">Schizophrenia causes psychosis and daily difficulties. This top-20 global illness affects individuals, families, and societies. The global prevalence of schizophrenia in 2022 was 0.32 percent. Despite its low prevalence, schizophrenia causes significant morbidity due to its chronicity, episodic nature, persistent symptoms, comorbidities, and suicide risk. These factors contribute to </w:t>
      </w:r>
      <w:r w:rsidRPr="008C6BE4">
        <w:rPr>
          <w:rFonts w:asciiTheme="majorBidi" w:hAnsiTheme="majorBidi" w:cstheme="majorBidi"/>
          <w:color w:val="000000"/>
        </w:rPr>
        <w:t>schizophrenia's higher mortality and morbidity rates. Schizophrenia patients may struggle with unexpected psychiatric hospital and emergency room admissions. This causes pharmacoeconomic and clinical issues. Schizophrenia and other psychoses cripple many people due to their long-term effects and poor prognosis.</w:t>
      </w:r>
      <w:r w:rsidR="00F020B3" w:rsidRPr="008C6BE4">
        <w:rPr>
          <w:rFonts w:asciiTheme="majorBidi" w:hAnsiTheme="majorBidi" w:cstheme="majorBidi"/>
          <w:b/>
          <w:bCs/>
          <w:color w:val="000000"/>
          <w:vertAlign w:val="superscript"/>
        </w:rPr>
        <w:t>1-</w:t>
      </w:r>
      <w:r w:rsidR="00E9672F" w:rsidRPr="008C6BE4">
        <w:rPr>
          <w:rFonts w:asciiTheme="majorBidi" w:hAnsiTheme="majorBidi" w:cstheme="majorBidi"/>
          <w:b/>
          <w:bCs/>
          <w:color w:val="000000"/>
          <w:vertAlign w:val="superscript"/>
        </w:rPr>
        <w:t>3</w:t>
      </w:r>
    </w:p>
    <w:p w14:paraId="1769BB31" w14:textId="77777777" w:rsidR="008C6BE4" w:rsidRDefault="008C6BE4" w:rsidP="008C6BE4">
      <w:pPr>
        <w:pStyle w:val="NormalWeb"/>
        <w:ind w:firstLine="720"/>
        <w:jc w:val="both"/>
        <w:rPr>
          <w:rFonts w:asciiTheme="majorBidi" w:hAnsiTheme="majorBidi" w:cstheme="majorBidi"/>
          <w:color w:val="000000"/>
        </w:rPr>
        <w:sectPr w:rsidR="008C6BE4" w:rsidSect="00825FAB">
          <w:type w:val="continuous"/>
          <w:pgSz w:w="12240" w:h="15840" w:code="1"/>
          <w:pgMar w:top="994" w:right="1440" w:bottom="1440" w:left="1440" w:header="720" w:footer="720" w:gutter="0"/>
          <w:cols w:num="2" w:space="720"/>
          <w:docGrid w:linePitch="360"/>
        </w:sectPr>
      </w:pPr>
    </w:p>
    <w:p w14:paraId="6B4A42D8" w14:textId="6E50142C" w:rsidR="002D169D" w:rsidRDefault="002D169D" w:rsidP="008D611E">
      <w:pPr>
        <w:widowControl w:val="0"/>
        <w:wordWrap w:val="0"/>
        <w:autoSpaceDE w:val="0"/>
        <w:autoSpaceDN w:val="0"/>
        <w:spacing w:after="0" w:line="240" w:lineRule="auto"/>
        <w:ind w:firstLine="180"/>
        <w:rPr>
          <w:rFonts w:ascii="Times New Roman" w:eastAsia="Batang" w:hAnsi="Times New Roman" w:cs="Times New Roman"/>
          <w:color w:val="000000"/>
          <w:kern w:val="2"/>
          <w:lang w:eastAsia="ko-KR"/>
          <w14:ligatures w14:val="standardContextual"/>
        </w:rPr>
      </w:pPr>
    </w:p>
    <w:p w14:paraId="1122C962" w14:textId="77777777" w:rsidR="002D169D" w:rsidRDefault="002D169D" w:rsidP="002D169D">
      <w:pPr>
        <w:widowControl w:val="0"/>
        <w:wordWrap w:val="0"/>
        <w:autoSpaceDE w:val="0"/>
        <w:autoSpaceDN w:val="0"/>
        <w:spacing w:after="0" w:line="240" w:lineRule="auto"/>
        <w:ind w:firstLine="180"/>
        <w:rPr>
          <w:rFonts w:ascii="Times New Roman" w:eastAsia="Batang" w:hAnsi="Times New Roman" w:cs="Times New Roman"/>
          <w:color w:val="000000"/>
          <w:kern w:val="2"/>
          <w:lang w:eastAsia="ko-KR"/>
          <w14:ligatures w14:val="standardContextual"/>
        </w:rPr>
      </w:pPr>
    </w:p>
    <w:p w14:paraId="19D4C81F" w14:textId="2D1A76BF" w:rsidR="008D611E" w:rsidRPr="008D611E" w:rsidRDefault="008D611E" w:rsidP="00FF7A46">
      <w:pPr>
        <w:widowControl w:val="0"/>
        <w:wordWrap w:val="0"/>
        <w:autoSpaceDE w:val="0"/>
        <w:autoSpaceDN w:val="0"/>
        <w:spacing w:after="0" w:line="240" w:lineRule="auto"/>
        <w:ind w:left="90"/>
        <w:rPr>
          <w:rFonts w:ascii="Times New Roman" w:eastAsia="Batang" w:hAnsi="Times New Roman" w:cs="Times New Roman"/>
          <w:color w:val="000000"/>
          <w:kern w:val="2"/>
          <w:lang w:eastAsia="ko-KR"/>
          <w14:ligatures w14:val="standardContextual"/>
        </w:rPr>
      </w:pPr>
      <w:r w:rsidRPr="008D611E">
        <w:rPr>
          <w:rFonts w:ascii="Times New Roman" w:eastAsia="Batang" w:hAnsi="Times New Roman" w:cs="Times New Roman"/>
          <w:color w:val="000000"/>
          <w:kern w:val="2"/>
          <w:lang w:eastAsia="ko-KR"/>
          <w14:ligatures w14:val="standardContextual"/>
        </w:rPr>
        <w:t xml:space="preserve">From </w:t>
      </w:r>
      <w:proofErr w:type="spellStart"/>
      <w:r w:rsidRPr="008D611E">
        <w:rPr>
          <w:rFonts w:ascii="Times New Roman" w:eastAsia="Batang" w:hAnsi="Times New Roman" w:cs="Times New Roman"/>
          <w:color w:val="000000"/>
          <w:kern w:val="2"/>
          <w:lang w:eastAsia="ko-KR"/>
          <w14:ligatures w14:val="standardContextual"/>
        </w:rPr>
        <w:t>Deparment</w:t>
      </w:r>
      <w:proofErr w:type="spellEnd"/>
      <w:r w:rsidRPr="008D611E">
        <w:rPr>
          <w:rFonts w:ascii="Times New Roman" w:eastAsia="Batang" w:hAnsi="Times New Roman" w:cs="Times New Roman"/>
          <w:color w:val="000000"/>
          <w:kern w:val="2"/>
          <w:lang w:eastAsia="ko-KR"/>
          <w14:ligatures w14:val="standardContextual"/>
        </w:rPr>
        <w:t xml:space="preserve"> </w:t>
      </w:r>
      <w:proofErr w:type="gramStart"/>
      <w:r w:rsidRPr="008D611E">
        <w:rPr>
          <w:rFonts w:ascii="Times New Roman" w:eastAsia="Batang" w:hAnsi="Times New Roman" w:cs="Times New Roman"/>
          <w:color w:val="000000"/>
          <w:kern w:val="2"/>
          <w:lang w:eastAsia="ko-KR"/>
          <w14:ligatures w14:val="standardContextual"/>
        </w:rPr>
        <w:t>of :</w:t>
      </w:r>
      <w:proofErr w:type="gramEnd"/>
    </w:p>
    <w:p w14:paraId="3EF58740" w14:textId="475643EB" w:rsidR="002D169D" w:rsidRDefault="008D611E" w:rsidP="002D169D">
      <w:pPr>
        <w:spacing w:line="240" w:lineRule="auto"/>
        <w:rPr>
          <w:rFonts w:asciiTheme="majorBidi" w:hAnsiTheme="majorBidi" w:cstheme="majorBidi"/>
        </w:rPr>
      </w:pPr>
      <w:r w:rsidRPr="008D611E">
        <w:rPr>
          <w:rFonts w:asciiTheme="majorBidi" w:hAnsiTheme="majorBidi" w:cstheme="majorBidi"/>
        </w:rPr>
        <w:t xml:space="preserve">*Department </w:t>
      </w:r>
      <w:proofErr w:type="gramStart"/>
      <w:r w:rsidRPr="008D611E">
        <w:rPr>
          <w:rFonts w:asciiTheme="majorBidi" w:hAnsiTheme="majorBidi" w:cstheme="majorBidi"/>
        </w:rPr>
        <w:t>Of</w:t>
      </w:r>
      <w:proofErr w:type="gramEnd"/>
      <w:r w:rsidRPr="008D611E">
        <w:rPr>
          <w:rFonts w:asciiTheme="majorBidi" w:hAnsiTheme="majorBidi" w:cstheme="majorBidi"/>
        </w:rPr>
        <w:t xml:space="preserve"> </w:t>
      </w:r>
      <w:proofErr w:type="spellStart"/>
      <w:r w:rsidRPr="008D611E">
        <w:rPr>
          <w:rFonts w:asciiTheme="majorBidi" w:hAnsiTheme="majorBidi" w:cstheme="majorBidi"/>
        </w:rPr>
        <w:t>Psychiarty</w:t>
      </w:r>
      <w:proofErr w:type="spellEnd"/>
    </w:p>
    <w:p w14:paraId="667C8A43" w14:textId="5094AACF" w:rsidR="008C6BE4" w:rsidRPr="002D169D" w:rsidRDefault="008D611E" w:rsidP="002D169D">
      <w:pPr>
        <w:spacing w:line="240" w:lineRule="auto"/>
        <w:rPr>
          <w:rFonts w:asciiTheme="majorBidi" w:hAnsiTheme="majorBidi" w:cstheme="majorBidi"/>
          <w:color w:val="000000"/>
          <w:sz w:val="20"/>
          <w:szCs w:val="20"/>
        </w:rPr>
      </w:pPr>
      <w:r w:rsidRPr="002D169D">
        <w:rPr>
          <w:rFonts w:asciiTheme="majorBidi" w:hAnsiTheme="majorBidi" w:cstheme="majorBidi"/>
          <w:color w:val="000000"/>
          <w:sz w:val="20"/>
          <w:szCs w:val="20"/>
        </w:rPr>
        <w:t>Correspondence should be addressed to</w:t>
      </w:r>
      <w:r w:rsidR="005647C0" w:rsidRPr="002D169D">
        <w:rPr>
          <w:rFonts w:asciiTheme="majorBidi" w:hAnsiTheme="majorBidi" w:cstheme="majorBidi"/>
          <w:color w:val="000000"/>
          <w:sz w:val="20"/>
          <w:szCs w:val="20"/>
        </w:rPr>
        <w:t xml:space="preserve"> Dr.</w:t>
      </w:r>
      <w:r w:rsidR="005647C0" w:rsidRPr="002D169D">
        <w:rPr>
          <w:sz w:val="20"/>
          <w:szCs w:val="20"/>
        </w:rPr>
        <w:t xml:space="preserve"> </w:t>
      </w:r>
      <w:proofErr w:type="spellStart"/>
      <w:r w:rsidR="005647C0" w:rsidRPr="002D169D">
        <w:rPr>
          <w:rFonts w:asciiTheme="majorBidi" w:hAnsiTheme="majorBidi" w:cstheme="majorBidi"/>
          <w:color w:val="000000"/>
          <w:sz w:val="20"/>
          <w:szCs w:val="20"/>
        </w:rPr>
        <w:t>Rafat</w:t>
      </w:r>
      <w:proofErr w:type="spellEnd"/>
      <w:r w:rsidR="005647C0" w:rsidRPr="002D169D">
        <w:rPr>
          <w:rFonts w:asciiTheme="majorBidi" w:hAnsiTheme="majorBidi" w:cstheme="majorBidi"/>
          <w:color w:val="000000"/>
          <w:sz w:val="20"/>
          <w:szCs w:val="20"/>
        </w:rPr>
        <w:t xml:space="preserve"> </w:t>
      </w:r>
      <w:proofErr w:type="spellStart"/>
      <w:r w:rsidR="005647C0" w:rsidRPr="002D169D">
        <w:rPr>
          <w:rFonts w:asciiTheme="majorBidi" w:hAnsiTheme="majorBidi" w:cstheme="majorBidi"/>
          <w:color w:val="000000"/>
          <w:sz w:val="20"/>
          <w:szCs w:val="20"/>
        </w:rPr>
        <w:t>Aburumman</w:t>
      </w:r>
      <w:proofErr w:type="spellEnd"/>
      <w:r w:rsidR="005647C0" w:rsidRPr="002D169D">
        <w:rPr>
          <w:rFonts w:asciiTheme="majorBidi" w:hAnsiTheme="majorBidi" w:cstheme="majorBidi"/>
          <w:color w:val="000000"/>
          <w:sz w:val="20"/>
          <w:szCs w:val="20"/>
        </w:rPr>
        <w:t xml:space="preserve">   Tel: </w:t>
      </w:r>
      <w:r w:rsidR="009523D3" w:rsidRPr="002D169D">
        <w:rPr>
          <w:rFonts w:asciiTheme="majorBidi" w:hAnsiTheme="majorBidi" w:cstheme="majorBidi"/>
          <w:color w:val="000000"/>
          <w:sz w:val="20"/>
          <w:szCs w:val="20"/>
        </w:rPr>
        <w:t>+962772702637</w:t>
      </w:r>
      <w:r w:rsidR="005647C0" w:rsidRPr="002D169D">
        <w:rPr>
          <w:rFonts w:asciiTheme="majorBidi" w:hAnsiTheme="majorBidi" w:cstheme="majorBidi"/>
          <w:color w:val="000000"/>
          <w:sz w:val="20"/>
          <w:szCs w:val="20"/>
        </w:rPr>
        <w:t xml:space="preserve">        </w:t>
      </w:r>
      <w:proofErr w:type="gramStart"/>
      <w:r w:rsidR="005647C0" w:rsidRPr="002D169D">
        <w:rPr>
          <w:rFonts w:asciiTheme="majorBidi" w:hAnsiTheme="majorBidi" w:cstheme="majorBidi"/>
          <w:color w:val="000000"/>
          <w:sz w:val="20"/>
          <w:szCs w:val="20"/>
        </w:rPr>
        <w:t>E</w:t>
      </w:r>
      <w:r w:rsidR="002D169D" w:rsidRPr="002D169D">
        <w:rPr>
          <w:rFonts w:asciiTheme="majorBidi" w:hAnsiTheme="majorBidi" w:cstheme="majorBidi"/>
          <w:color w:val="000000"/>
          <w:sz w:val="20"/>
          <w:szCs w:val="20"/>
        </w:rPr>
        <w:t>-mai</w:t>
      </w:r>
      <w:r w:rsidR="005647C0" w:rsidRPr="002D169D">
        <w:rPr>
          <w:rFonts w:asciiTheme="majorBidi" w:hAnsiTheme="majorBidi" w:cstheme="majorBidi"/>
          <w:color w:val="000000"/>
          <w:sz w:val="20"/>
          <w:szCs w:val="20"/>
        </w:rPr>
        <w:t>l:drrafat76@hotmail.com</w:t>
      </w:r>
      <w:proofErr w:type="gramEnd"/>
    </w:p>
    <w:p w14:paraId="3928D5E6" w14:textId="77777777" w:rsidR="008C6BE4" w:rsidRPr="008C6BE4" w:rsidRDefault="008C6BE4" w:rsidP="008C6BE4">
      <w:pPr>
        <w:pStyle w:val="NormalWeb"/>
        <w:ind w:firstLine="720"/>
        <w:jc w:val="both"/>
        <w:rPr>
          <w:rFonts w:asciiTheme="majorBidi" w:hAnsiTheme="majorBidi" w:cstheme="majorBidi"/>
          <w:color w:val="000000"/>
        </w:rPr>
      </w:pPr>
    </w:p>
    <w:p w14:paraId="71C1EFAC" w14:textId="77777777" w:rsidR="008C6BE4" w:rsidRDefault="008C6BE4" w:rsidP="008C6BE4">
      <w:pPr>
        <w:pStyle w:val="NormalWeb"/>
        <w:ind w:firstLine="720"/>
        <w:jc w:val="both"/>
        <w:rPr>
          <w:rFonts w:asciiTheme="majorBidi" w:hAnsiTheme="majorBidi" w:cstheme="majorBidi"/>
          <w:color w:val="000000"/>
        </w:rPr>
        <w:sectPr w:rsidR="008C6BE4" w:rsidSect="00FF7A46">
          <w:type w:val="continuous"/>
          <w:pgSz w:w="12240" w:h="15840" w:code="1"/>
          <w:pgMar w:top="720" w:right="900" w:bottom="1440" w:left="1260" w:header="720" w:footer="720" w:gutter="0"/>
          <w:cols w:space="720"/>
          <w:docGrid w:linePitch="360"/>
        </w:sectPr>
      </w:pPr>
    </w:p>
    <w:p w14:paraId="12C2837F" w14:textId="2B8D960B" w:rsidR="008F512F" w:rsidRPr="008C6BE4" w:rsidRDefault="004B3537" w:rsidP="00A05847">
      <w:pPr>
        <w:pStyle w:val="NormalWeb"/>
        <w:spacing w:after="0" w:afterAutospacing="0"/>
        <w:jc w:val="both"/>
        <w:rPr>
          <w:rFonts w:asciiTheme="majorBidi" w:hAnsiTheme="majorBidi" w:cstheme="majorBidi"/>
          <w:b/>
          <w:bCs/>
          <w:color w:val="000000"/>
          <w:vertAlign w:val="superscript"/>
        </w:rPr>
      </w:pPr>
      <w:r w:rsidRPr="008C6BE4">
        <w:rPr>
          <w:rFonts w:asciiTheme="majorBidi" w:hAnsiTheme="majorBidi" w:cstheme="majorBidi"/>
          <w:color w:val="000000"/>
        </w:rPr>
        <w:t>Antipsychotics that reduce psychotic symptoms and are well-tolerated are needed for long-term treatment. Antipsychotics provide quick, long-lasting relief to psychotic patients. A recent study found that schizophrenia patients who take antipsychotics have a significantly lower death rate. Long-term antipsychotic use can alter metabolism and cause tardive dyskinesia. Schizophrenia patients often struggle to take their medications. Causes include social isolation, a lack of knowledge about their illness, and concerns about antipsychotic drug side effects. First-generation antipsychotics (APs) debuted in the 1950s.</w:t>
      </w:r>
      <w:r w:rsidR="00E9672F" w:rsidRPr="008C6BE4">
        <w:rPr>
          <w:rFonts w:asciiTheme="majorBidi" w:hAnsiTheme="majorBidi" w:cstheme="majorBidi"/>
          <w:b/>
          <w:bCs/>
          <w:color w:val="000000"/>
          <w:vertAlign w:val="superscript"/>
        </w:rPr>
        <w:t>4-7</w:t>
      </w:r>
    </w:p>
    <w:p w14:paraId="40FC3EC1" w14:textId="62B84E89" w:rsidR="008F512F" w:rsidRPr="008C6BE4" w:rsidRDefault="004B3537" w:rsidP="00A05847">
      <w:pPr>
        <w:pStyle w:val="NormalWeb"/>
        <w:spacing w:after="0" w:afterAutospacing="0"/>
        <w:jc w:val="both"/>
        <w:rPr>
          <w:rFonts w:asciiTheme="majorBidi" w:hAnsiTheme="majorBidi" w:cstheme="majorBidi"/>
          <w:b/>
          <w:bCs/>
          <w:color w:val="000000"/>
          <w:vertAlign w:val="superscript"/>
        </w:rPr>
      </w:pPr>
      <w:r w:rsidRPr="008C6BE4">
        <w:rPr>
          <w:rFonts w:asciiTheme="majorBidi" w:hAnsiTheme="majorBidi" w:cstheme="majorBidi"/>
          <w:color w:val="000000"/>
        </w:rPr>
        <w:t>These drugs made outpatient treatment easier for schizophrenia patients and reduced hospital admissions. Many patients stopped treatment too soon because they couldn't understand or accept it, resulting in insanity. Medication noncompliance and refusal of mental health services can hinder psychotic disorder therapy. Medical professionals struggle with noncompliant patients, and mental illness can make matters worse. Nonadherence to antipsychotics is 40%–60% in schizophrenia patients, resulting in worse outcomes. Not knowing one's condition, depression symptoms, cognitive impairment, positive and negative symptoms, social isolation, concurrent substance abuse, societal stigma, inadequate mental health care systems in some areas, and a limited understanding of therapy's risks and benefits have all been linked to noncompliance with treatment regimens.</w:t>
      </w:r>
      <w:r w:rsidR="00E9672F" w:rsidRPr="008C6BE4">
        <w:rPr>
          <w:rFonts w:asciiTheme="majorBidi" w:hAnsiTheme="majorBidi" w:cstheme="majorBidi"/>
          <w:b/>
          <w:bCs/>
          <w:color w:val="000000"/>
          <w:vertAlign w:val="superscript"/>
        </w:rPr>
        <w:t>8-11</w:t>
      </w:r>
    </w:p>
    <w:p w14:paraId="2F269909" w14:textId="28077B69" w:rsidR="008F512F" w:rsidRPr="008C6BE4" w:rsidRDefault="004B3537" w:rsidP="00A05847">
      <w:pPr>
        <w:pStyle w:val="NormalWeb"/>
        <w:spacing w:after="0" w:afterAutospacing="0"/>
        <w:jc w:val="both"/>
        <w:rPr>
          <w:rFonts w:asciiTheme="majorBidi" w:hAnsiTheme="majorBidi" w:cstheme="majorBidi"/>
          <w:b/>
          <w:bCs/>
          <w:color w:val="000000"/>
          <w:vertAlign w:val="superscript"/>
        </w:rPr>
      </w:pPr>
      <w:r w:rsidRPr="008C6BE4">
        <w:rPr>
          <w:rFonts w:asciiTheme="majorBidi" w:hAnsiTheme="majorBidi" w:cstheme="majorBidi"/>
          <w:color w:val="000000"/>
        </w:rPr>
        <w:t xml:space="preserve">Patients must follow their treatment plans to </w:t>
      </w:r>
      <w:proofErr w:type="spellStart"/>
      <w:r w:rsidRPr="008C6BE4">
        <w:rPr>
          <w:rFonts w:asciiTheme="majorBidi" w:hAnsiTheme="majorBidi" w:cstheme="majorBidi"/>
          <w:color w:val="000000"/>
        </w:rPr>
        <w:t>maximise</w:t>
      </w:r>
      <w:proofErr w:type="spellEnd"/>
      <w:r w:rsidRPr="008C6BE4">
        <w:rPr>
          <w:rFonts w:asciiTheme="majorBidi" w:hAnsiTheme="majorBidi" w:cstheme="majorBidi"/>
          <w:color w:val="000000"/>
        </w:rPr>
        <w:t xml:space="preserve"> medication benefits and improve physician-patient communication. If you don't follow your treatment plan, your </w:t>
      </w:r>
      <w:r w:rsidRPr="008C6BE4">
        <w:rPr>
          <w:rFonts w:asciiTheme="majorBidi" w:hAnsiTheme="majorBidi" w:cstheme="majorBidi"/>
          <w:color w:val="000000"/>
        </w:rPr>
        <w:t xml:space="preserve">symptoms may return, putting you at risk for </w:t>
      </w:r>
      <w:proofErr w:type="spellStart"/>
      <w:r w:rsidRPr="008C6BE4">
        <w:rPr>
          <w:rFonts w:asciiTheme="majorBidi" w:hAnsiTheme="majorBidi" w:cstheme="majorBidi"/>
          <w:color w:val="000000"/>
        </w:rPr>
        <w:t>hospitalisation</w:t>
      </w:r>
      <w:proofErr w:type="spellEnd"/>
      <w:r w:rsidRPr="008C6BE4">
        <w:rPr>
          <w:rFonts w:asciiTheme="majorBidi" w:hAnsiTheme="majorBidi" w:cstheme="majorBidi"/>
          <w:color w:val="000000"/>
        </w:rPr>
        <w:t xml:space="preserve"> or suicide. There is little research on measuring variables and motivating people to follow them. Depot medication, psychoeducation, technology-based therapies, and family counselling improve adherence. To improve treatment adherence, extended-release injectable antipsychotics with a half-life of two to twelve weeks were developed. Long-acting injectable antipsychotics (LAIs) were developed in the 1970s and 1980s to improve treatment adherence. However, this topic has received little research.</w:t>
      </w:r>
      <w:r w:rsidR="00F020B3" w:rsidRPr="008C6BE4">
        <w:rPr>
          <w:rFonts w:asciiTheme="majorBidi" w:hAnsiTheme="majorBidi" w:cstheme="majorBidi"/>
          <w:b/>
          <w:bCs/>
          <w:color w:val="000000"/>
          <w:vertAlign w:val="superscript"/>
        </w:rPr>
        <w:t>1</w:t>
      </w:r>
      <w:r w:rsidR="00E9672F" w:rsidRPr="008C6BE4">
        <w:rPr>
          <w:rFonts w:asciiTheme="majorBidi" w:hAnsiTheme="majorBidi" w:cstheme="majorBidi"/>
          <w:b/>
          <w:bCs/>
          <w:color w:val="000000"/>
          <w:vertAlign w:val="superscript"/>
        </w:rPr>
        <w:t>2-15</w:t>
      </w:r>
    </w:p>
    <w:p w14:paraId="5DF9E594" w14:textId="77777777" w:rsidR="008D611E" w:rsidRDefault="008D611E" w:rsidP="00A05847">
      <w:pPr>
        <w:pStyle w:val="NormalWeb"/>
        <w:spacing w:after="0" w:afterAutospacing="0"/>
        <w:ind w:firstLine="720"/>
        <w:jc w:val="both"/>
        <w:rPr>
          <w:rFonts w:asciiTheme="majorBidi" w:hAnsiTheme="majorBidi" w:cstheme="majorBidi"/>
          <w:color w:val="000000"/>
        </w:rPr>
      </w:pPr>
    </w:p>
    <w:p w14:paraId="4EAB8745" w14:textId="408AAB01" w:rsidR="008D611E" w:rsidRDefault="004B3537" w:rsidP="00A05847">
      <w:pPr>
        <w:pStyle w:val="NormalWeb"/>
        <w:spacing w:after="0" w:afterAutospacing="0"/>
        <w:jc w:val="both"/>
        <w:rPr>
          <w:rFonts w:asciiTheme="majorBidi" w:hAnsiTheme="majorBidi" w:cstheme="majorBidi"/>
          <w:color w:val="000000"/>
        </w:rPr>
      </w:pPr>
      <w:r w:rsidRPr="008C6BE4">
        <w:rPr>
          <w:rFonts w:asciiTheme="majorBidi" w:hAnsiTheme="majorBidi" w:cstheme="majorBidi"/>
          <w:color w:val="000000"/>
        </w:rPr>
        <w:t xml:space="preserve">Professional guidelines advise using long-acting injectable antipsychotics (LAIAs) to address medication noncompliance. LAIAs are rarely used, especially by 65-year-olds and substance abusers. Polypharmacy and pharmacokinetic changes can increase side effects in older people. This population needs accurate, long-term safety statistics. LAIA therapy is essential for medication-non-adherence patients. Although long-term effects are unknown, specialists and a two-year </w:t>
      </w:r>
      <w:proofErr w:type="spellStart"/>
      <w:r w:rsidRPr="008C6BE4">
        <w:rPr>
          <w:rFonts w:asciiTheme="majorBidi" w:hAnsiTheme="majorBidi" w:cstheme="majorBidi"/>
          <w:color w:val="000000"/>
        </w:rPr>
        <w:t>randomised</w:t>
      </w:r>
      <w:proofErr w:type="spellEnd"/>
      <w:r w:rsidRPr="008C6BE4">
        <w:rPr>
          <w:rFonts w:asciiTheme="majorBidi" w:hAnsiTheme="majorBidi" w:cstheme="majorBidi"/>
          <w:color w:val="000000"/>
        </w:rPr>
        <w:t xml:space="preserve"> clinical trial recommend starting treatment immediately.</w:t>
      </w:r>
      <w:r w:rsidR="00F020B3" w:rsidRPr="008C6BE4">
        <w:rPr>
          <w:rFonts w:asciiTheme="majorBidi" w:hAnsiTheme="majorBidi" w:cstheme="majorBidi"/>
          <w:b/>
          <w:bCs/>
          <w:color w:val="000000"/>
          <w:vertAlign w:val="superscript"/>
        </w:rPr>
        <w:t>1</w:t>
      </w:r>
      <w:r w:rsidR="00E9672F" w:rsidRPr="008C6BE4">
        <w:rPr>
          <w:rFonts w:asciiTheme="majorBidi" w:hAnsiTheme="majorBidi" w:cstheme="majorBidi"/>
          <w:b/>
          <w:bCs/>
          <w:color w:val="000000"/>
          <w:vertAlign w:val="superscript"/>
        </w:rPr>
        <w:t>6-19</w:t>
      </w:r>
    </w:p>
    <w:p w14:paraId="5BC3B229" w14:textId="56E9493D" w:rsidR="004B3537" w:rsidRPr="008C6BE4" w:rsidRDefault="004B3537" w:rsidP="00A05847">
      <w:pPr>
        <w:pStyle w:val="NormalWeb"/>
        <w:spacing w:after="0" w:afterAutospacing="0"/>
        <w:jc w:val="both"/>
        <w:rPr>
          <w:rFonts w:asciiTheme="majorBidi" w:hAnsiTheme="majorBidi" w:cstheme="majorBidi"/>
          <w:color w:val="000000"/>
          <w:rtl/>
        </w:rPr>
      </w:pPr>
      <w:r w:rsidRPr="008C6BE4">
        <w:rPr>
          <w:rFonts w:asciiTheme="majorBidi" w:hAnsiTheme="majorBidi" w:cstheme="majorBidi"/>
          <w:color w:val="000000"/>
        </w:rPr>
        <w:t xml:space="preserve">We primarily conducted this study to explore the responsiveness rates of commonly used APDs, older and newer generations of both oral and injectable long-acting, against three major symptomatic domains, including positive, negative, and psychopathological. And to investigate these 4 APDs’ classes, impacts on managing the three-dimensional aspects of schizophrenia were looked at, while patient adherence was </w:t>
      </w:r>
      <w:proofErr w:type="gramStart"/>
      <w:r w:rsidRPr="008C6BE4">
        <w:rPr>
          <w:rFonts w:asciiTheme="majorBidi" w:hAnsiTheme="majorBidi" w:cstheme="majorBidi"/>
          <w:color w:val="000000"/>
        </w:rPr>
        <w:t>taken into account</w:t>
      </w:r>
      <w:proofErr w:type="gramEnd"/>
      <w:r w:rsidRPr="008C6BE4">
        <w:rPr>
          <w:rFonts w:asciiTheme="majorBidi" w:hAnsiTheme="majorBidi" w:cstheme="majorBidi"/>
          <w:color w:val="000000"/>
        </w:rPr>
        <w:t xml:space="preserve"> as a second factor.</w:t>
      </w:r>
    </w:p>
    <w:p w14:paraId="0639AAA4" w14:textId="77777777" w:rsidR="008C6BE4" w:rsidRDefault="008C6BE4" w:rsidP="00A05847">
      <w:pPr>
        <w:pStyle w:val="NormalWeb"/>
        <w:spacing w:after="0" w:afterAutospacing="0"/>
        <w:jc w:val="both"/>
        <w:rPr>
          <w:rFonts w:asciiTheme="majorBidi" w:hAnsiTheme="majorBidi" w:cstheme="majorBidi"/>
          <w:b/>
          <w:bCs/>
          <w:color w:val="000000"/>
        </w:rPr>
        <w:sectPr w:rsidR="008C6BE4" w:rsidSect="00825FAB">
          <w:type w:val="continuous"/>
          <w:pgSz w:w="12240" w:h="15840" w:code="1"/>
          <w:pgMar w:top="720" w:right="1440" w:bottom="1440" w:left="1440" w:header="720" w:footer="720" w:gutter="0"/>
          <w:cols w:num="2" w:space="720"/>
          <w:docGrid w:linePitch="360"/>
        </w:sectPr>
      </w:pPr>
    </w:p>
    <w:p w14:paraId="101E9A51" w14:textId="77777777" w:rsidR="008D611E" w:rsidRDefault="008D611E" w:rsidP="00A05847">
      <w:pPr>
        <w:pStyle w:val="NormalWeb"/>
        <w:spacing w:after="0" w:afterAutospacing="0"/>
        <w:jc w:val="both"/>
        <w:rPr>
          <w:rFonts w:asciiTheme="majorBidi" w:hAnsiTheme="majorBidi" w:cstheme="majorBidi"/>
          <w:b/>
          <w:bCs/>
          <w:color w:val="000000"/>
        </w:rPr>
      </w:pPr>
    </w:p>
    <w:p w14:paraId="4A3BE5DF" w14:textId="77777777" w:rsidR="008D611E" w:rsidRDefault="008D611E" w:rsidP="00A05847">
      <w:pPr>
        <w:pStyle w:val="NormalWeb"/>
        <w:spacing w:after="0" w:afterAutospacing="0"/>
        <w:jc w:val="both"/>
        <w:rPr>
          <w:rFonts w:asciiTheme="majorBidi" w:hAnsiTheme="majorBidi" w:cstheme="majorBidi"/>
          <w:b/>
          <w:bCs/>
          <w:color w:val="000000"/>
        </w:rPr>
      </w:pPr>
    </w:p>
    <w:p w14:paraId="36BB975B" w14:textId="77777777" w:rsidR="008D611E" w:rsidRDefault="008D611E" w:rsidP="00A05847">
      <w:pPr>
        <w:pStyle w:val="NormalWeb"/>
        <w:spacing w:after="0" w:afterAutospacing="0"/>
        <w:jc w:val="both"/>
        <w:rPr>
          <w:rFonts w:asciiTheme="majorBidi" w:hAnsiTheme="majorBidi" w:cstheme="majorBidi"/>
          <w:b/>
          <w:bCs/>
          <w:color w:val="000000"/>
        </w:rPr>
      </w:pPr>
    </w:p>
    <w:p w14:paraId="02206E0F" w14:textId="77777777" w:rsidR="008D611E" w:rsidRDefault="008D611E" w:rsidP="00A05847">
      <w:pPr>
        <w:pStyle w:val="NormalWeb"/>
        <w:spacing w:after="0" w:afterAutospacing="0"/>
        <w:jc w:val="both"/>
        <w:rPr>
          <w:rFonts w:asciiTheme="majorBidi" w:hAnsiTheme="majorBidi" w:cstheme="majorBidi"/>
          <w:b/>
          <w:bCs/>
          <w:color w:val="000000"/>
        </w:rPr>
      </w:pPr>
    </w:p>
    <w:p w14:paraId="5716D3AF" w14:textId="77777777" w:rsidR="008D611E" w:rsidRDefault="008D611E" w:rsidP="008C6BE4">
      <w:pPr>
        <w:pStyle w:val="NormalWeb"/>
        <w:jc w:val="both"/>
        <w:rPr>
          <w:rFonts w:asciiTheme="majorBidi" w:hAnsiTheme="majorBidi" w:cstheme="majorBidi"/>
          <w:b/>
          <w:bCs/>
          <w:color w:val="000000"/>
        </w:rPr>
      </w:pPr>
    </w:p>
    <w:p w14:paraId="311084DD" w14:textId="6AE2E6B2" w:rsidR="00D12926" w:rsidRPr="008C6BE4" w:rsidRDefault="009133BD" w:rsidP="008C6BE4">
      <w:pPr>
        <w:pStyle w:val="NormalWeb"/>
        <w:jc w:val="both"/>
        <w:rPr>
          <w:rFonts w:asciiTheme="majorBidi" w:hAnsiTheme="majorBidi" w:cstheme="majorBidi"/>
          <w:b/>
          <w:bCs/>
          <w:color w:val="000000"/>
        </w:rPr>
      </w:pPr>
      <w:r w:rsidRPr="008C6BE4">
        <w:rPr>
          <w:rFonts w:asciiTheme="majorBidi" w:hAnsiTheme="majorBidi" w:cstheme="majorBidi"/>
          <w:b/>
          <w:bCs/>
          <w:color w:val="000000"/>
        </w:rPr>
        <w:t>Methods</w:t>
      </w:r>
    </w:p>
    <w:p w14:paraId="308A5384" w14:textId="77777777" w:rsidR="00AA4FD9" w:rsidRPr="008C6BE4" w:rsidRDefault="00AA4FD9" w:rsidP="009331FD">
      <w:pPr>
        <w:pStyle w:val="NormalWeb"/>
        <w:jc w:val="both"/>
        <w:rPr>
          <w:rFonts w:asciiTheme="majorBidi" w:hAnsiTheme="majorBidi" w:cstheme="majorBidi"/>
        </w:rPr>
      </w:pPr>
      <w:r w:rsidRPr="008C6BE4">
        <w:rPr>
          <w:rFonts w:asciiTheme="majorBidi" w:hAnsiTheme="majorBidi" w:cstheme="majorBidi"/>
        </w:rPr>
        <w:t xml:space="preserve">This study only included adults (18 or older) with schizophrenia, schizoaffective disorder, schizophreniform disorder, delusional disorder, or another psychotic illness. The patients were divided into four age groups: 50–60, 60–70, 70–80, and over 80. To learn more about Jordanian schizophrenia patients, we studied at Princess Aisha </w:t>
      </w:r>
      <w:proofErr w:type="spellStart"/>
      <w:r w:rsidRPr="008C6BE4">
        <w:rPr>
          <w:rFonts w:asciiTheme="majorBidi" w:hAnsiTheme="majorBidi" w:cstheme="majorBidi"/>
        </w:rPr>
        <w:t>Bint</w:t>
      </w:r>
      <w:proofErr w:type="spellEnd"/>
      <w:r w:rsidRPr="008C6BE4">
        <w:rPr>
          <w:rFonts w:asciiTheme="majorBidi" w:hAnsiTheme="majorBidi" w:cstheme="majorBidi"/>
        </w:rPr>
        <w:t xml:space="preserve"> Al Hussein (</w:t>
      </w:r>
      <w:proofErr w:type="spellStart"/>
      <w:r w:rsidRPr="008C6BE4">
        <w:rPr>
          <w:rFonts w:asciiTheme="majorBidi" w:hAnsiTheme="majorBidi" w:cstheme="majorBidi"/>
        </w:rPr>
        <w:t>Marka</w:t>
      </w:r>
      <w:proofErr w:type="spellEnd"/>
      <w:r w:rsidRPr="008C6BE4">
        <w:rPr>
          <w:rFonts w:asciiTheme="majorBidi" w:hAnsiTheme="majorBidi" w:cstheme="majorBidi"/>
        </w:rPr>
        <w:t xml:space="preserve"> Military Medical Centre) Medical Centre from January 2021 to January 2023. In particular, we wanted to assess how well oral and injectable antipsychotic medications (APs) manage psychological, positive, and negative symptoms, expectations, and worries. At our psychiatric hospital, APs were distributed in four groups. They were then tested on how well they managed three-dimensional schizophrenia. How well patients followed their treatment plan was also considered.</w:t>
      </w:r>
    </w:p>
    <w:p w14:paraId="6911E8BC" w14:textId="77777777" w:rsidR="008D611E" w:rsidRDefault="00063E58" w:rsidP="009133BD">
      <w:pPr>
        <w:pStyle w:val="NormalWeb"/>
        <w:jc w:val="both"/>
        <w:rPr>
          <w:rFonts w:asciiTheme="majorBidi" w:hAnsiTheme="majorBidi" w:cstheme="majorBidi"/>
        </w:rPr>
      </w:pPr>
      <w:r w:rsidRPr="008C6BE4">
        <w:rPr>
          <w:rFonts w:asciiTheme="majorBidi" w:hAnsiTheme="majorBidi" w:cstheme="majorBidi"/>
        </w:rPr>
        <w:t>DSM-type diagnostic systems are used to diagnose mental illnesses. The subjects' initial average rating scale scores were assessed using the Positive and Negative Syndrome Scale (PANSS). By tracking rates that dropped by at least 20% from the starting points in all three types of symptoms (positive, negative, and psychopathological) and adding up the PANSS scores, we found a clinically significant response.</w:t>
      </w:r>
      <w:r w:rsidRPr="008C6BE4">
        <w:rPr>
          <w:rFonts w:asciiTheme="majorBidi" w:hAnsiTheme="majorBidi" w:cstheme="majorBidi"/>
          <w:rtl/>
        </w:rPr>
        <w:t xml:space="preserve"> </w:t>
      </w:r>
      <w:r w:rsidRPr="008C6BE4">
        <w:rPr>
          <w:rFonts w:asciiTheme="majorBidi" w:hAnsiTheme="majorBidi" w:cstheme="majorBidi"/>
        </w:rPr>
        <w:t xml:space="preserve">The BARS is a brief, four-item questionnaire that assesses medication adherence. Easy and cheap to give. It quickly and accurately assesses a patient's treatment compliance. A clinician manages the four-part tool. A detailed visual analogue rating scale and three questions determine how much of the patient's monthly prescription they take (0% to 100%). The three questions assess the patient's knowledge of their prescription routine, including how often to take their medication, whether they miss doses, and whether they </w:t>
      </w:r>
    </w:p>
    <w:p w14:paraId="630B7A28" w14:textId="77777777" w:rsidR="008D611E" w:rsidRDefault="008D611E" w:rsidP="008C6BE4">
      <w:pPr>
        <w:pStyle w:val="NormalWeb"/>
        <w:ind w:firstLine="720"/>
        <w:jc w:val="both"/>
        <w:rPr>
          <w:rFonts w:asciiTheme="majorBidi" w:hAnsiTheme="majorBidi" w:cstheme="majorBidi"/>
        </w:rPr>
      </w:pPr>
    </w:p>
    <w:p w14:paraId="50EC6390" w14:textId="6F1A67C2" w:rsidR="00063E58" w:rsidRPr="008C6BE4" w:rsidRDefault="00063E58" w:rsidP="009133BD">
      <w:pPr>
        <w:pStyle w:val="NormalWeb"/>
        <w:jc w:val="both"/>
        <w:rPr>
          <w:rFonts w:asciiTheme="majorBidi" w:hAnsiTheme="majorBidi" w:cstheme="majorBidi"/>
          <w:rtl/>
        </w:rPr>
      </w:pPr>
      <w:r w:rsidRPr="008C6BE4">
        <w:rPr>
          <w:rFonts w:asciiTheme="majorBidi" w:hAnsiTheme="majorBidi" w:cstheme="majorBidi"/>
        </w:rPr>
        <w:t>take less than the recommended amount. Each half of the patients' adherence scales (BRAS) was 25% farther apart.</w:t>
      </w:r>
    </w:p>
    <w:p w14:paraId="55188814" w14:textId="77777777" w:rsidR="00063E58" w:rsidRPr="008C6BE4" w:rsidRDefault="00063E58" w:rsidP="009133BD">
      <w:pPr>
        <w:pStyle w:val="NormalWeb"/>
        <w:jc w:val="both"/>
        <w:rPr>
          <w:rFonts w:asciiTheme="majorBidi" w:hAnsiTheme="majorBidi" w:cstheme="majorBidi"/>
          <w:rtl/>
        </w:rPr>
      </w:pPr>
      <w:r w:rsidRPr="008C6BE4">
        <w:rPr>
          <w:rFonts w:asciiTheme="majorBidi" w:hAnsiTheme="majorBidi" w:cstheme="majorBidi"/>
        </w:rPr>
        <w:t>The 1987 psychopharmacologic therapy study Positive and Negative Syndrome Scale (PANSS) by Stan Kay et al. measured schizophrenia symptoms' severity. The PANSS rating scale helps clinicians identify, classify, and track schizophrenia symptoms. It has been studied for its effects on quality of life, functioning, schizophrenia progression, and treatment. The PANSS is reliable when tested repeatedly and between raters. Researchers will track percentage reductions in positive symptoms (P1–7), negative symptoms (N1–7), and psychopathologies (G1–16). This will show how bad the four oral and LA-APD types were at the start of the study and how well the treatment worked. The study will also assess patient APD compliance.</w:t>
      </w:r>
    </w:p>
    <w:p w14:paraId="67F4A70A" w14:textId="77777777" w:rsidR="009133BD" w:rsidRDefault="00063E58" w:rsidP="005647C0">
      <w:pPr>
        <w:pStyle w:val="NormalWeb"/>
        <w:spacing w:after="0" w:afterAutospacing="0"/>
        <w:jc w:val="both"/>
        <w:rPr>
          <w:rFonts w:asciiTheme="majorBidi" w:hAnsiTheme="majorBidi" w:cstheme="majorBidi"/>
        </w:rPr>
      </w:pPr>
      <w:r w:rsidRPr="008C6BE4">
        <w:rPr>
          <w:rFonts w:asciiTheme="majorBidi" w:hAnsiTheme="majorBidi" w:cstheme="majorBidi"/>
        </w:rPr>
        <w:t xml:space="preserve">Based on APDs, we divided eligible patients into four groups. Older APDs like Haloperidol, Risperidone, and </w:t>
      </w:r>
      <w:proofErr w:type="spellStart"/>
      <w:r w:rsidRPr="008C6BE4">
        <w:rPr>
          <w:rFonts w:asciiTheme="majorBidi" w:hAnsiTheme="majorBidi" w:cstheme="majorBidi"/>
        </w:rPr>
        <w:t>Amisulpride</w:t>
      </w:r>
      <w:proofErr w:type="spellEnd"/>
      <w:r w:rsidRPr="008C6BE4">
        <w:rPr>
          <w:rFonts w:asciiTheme="majorBidi" w:hAnsiTheme="majorBidi" w:cstheme="majorBidi"/>
        </w:rPr>
        <w:t xml:space="preserve"> are Class I. Class II includes older IAPs like Fluphenazine LA, Flupentixol LA, Haloperidol LA, and Zuclopenthixol LA. Quetiapine, olanzapine, aripiprazole, and paliperidone are new Class III oral antipsychotics. Class IV includes Class III APDs and IAPs from recent generations, like Paliperidone LA and Risperdal </w:t>
      </w:r>
      <w:proofErr w:type="spellStart"/>
      <w:r w:rsidRPr="008C6BE4">
        <w:rPr>
          <w:rFonts w:asciiTheme="majorBidi" w:hAnsiTheme="majorBidi" w:cstheme="majorBidi"/>
        </w:rPr>
        <w:t>consta</w:t>
      </w:r>
      <w:proofErr w:type="spellEnd"/>
      <w:r w:rsidRPr="008C6BE4">
        <w:rPr>
          <w:rFonts w:asciiTheme="majorBidi" w:hAnsiTheme="majorBidi" w:cstheme="majorBidi"/>
        </w:rPr>
        <w:t>. A Chi-square analysis showed how the tested variables were distributed across these four APD classes. The variables tested were gender, age, all positive, negative, and psychopathological symptoms domains before treatment, adventure after APD, and response rates. Between APD classes, the entire PANSS was compared.</w:t>
      </w:r>
    </w:p>
    <w:p w14:paraId="3B3F7F1F" w14:textId="77777777" w:rsidR="009331FD" w:rsidRDefault="009331FD" w:rsidP="005647C0">
      <w:pPr>
        <w:pStyle w:val="NormalWeb"/>
        <w:spacing w:after="0" w:afterAutospacing="0"/>
        <w:jc w:val="both"/>
        <w:rPr>
          <w:rFonts w:asciiTheme="majorBidi" w:hAnsiTheme="majorBidi" w:cstheme="majorBidi"/>
          <w:color w:val="000000"/>
        </w:rPr>
      </w:pPr>
    </w:p>
    <w:p w14:paraId="76E9F84A" w14:textId="6D4CED7B" w:rsidR="00BF4411" w:rsidRPr="008C6BE4" w:rsidRDefault="00A675B9" w:rsidP="005647C0">
      <w:pPr>
        <w:pStyle w:val="NormalWeb"/>
        <w:spacing w:after="0" w:afterAutospacing="0"/>
        <w:jc w:val="both"/>
        <w:rPr>
          <w:rFonts w:asciiTheme="majorBidi" w:hAnsiTheme="majorBidi" w:cstheme="majorBidi"/>
          <w:color w:val="000000"/>
        </w:rPr>
      </w:pPr>
      <w:r w:rsidRPr="008C6BE4">
        <w:rPr>
          <w:rFonts w:asciiTheme="majorBidi" w:hAnsiTheme="majorBidi" w:cstheme="majorBidi"/>
          <w:color w:val="000000"/>
        </w:rPr>
        <w:lastRenderedPageBreak/>
        <w:t>To determine the significance and actual association between the tested APDs’ classes (Class I-IV)</w:t>
      </w:r>
      <w:r w:rsidR="00620017" w:rsidRPr="008C6BE4">
        <w:rPr>
          <w:rFonts w:asciiTheme="majorBidi" w:hAnsiTheme="majorBidi" w:cstheme="majorBidi"/>
          <w:color w:val="000000"/>
        </w:rPr>
        <w:t xml:space="preserve"> </w:t>
      </w:r>
      <w:r w:rsidR="00A8113D" w:rsidRPr="008C6BE4">
        <w:rPr>
          <w:rFonts w:asciiTheme="majorBidi" w:hAnsiTheme="majorBidi" w:cstheme="majorBidi"/>
          <w:color w:val="000000"/>
        </w:rPr>
        <w:t xml:space="preserve">against each of the investigated </w:t>
      </w:r>
      <w:proofErr w:type="spellStart"/>
      <w:r w:rsidR="00BF4411" w:rsidRPr="008C6BE4">
        <w:rPr>
          <w:rFonts w:asciiTheme="majorBidi" w:hAnsiTheme="majorBidi" w:cstheme="majorBidi"/>
          <w:color w:val="000000"/>
        </w:rPr>
        <w:t>psychosymptomatic</w:t>
      </w:r>
      <w:proofErr w:type="spellEnd"/>
      <w:r w:rsidR="00BF4411" w:rsidRPr="008C6BE4">
        <w:rPr>
          <w:rFonts w:asciiTheme="majorBidi" w:hAnsiTheme="majorBidi" w:cstheme="majorBidi"/>
          <w:color w:val="000000"/>
        </w:rPr>
        <w:t xml:space="preserve"> domain; positive, negative, and psychopathological domains, we conducted an individual multiple linear regression analysis to abstract the association coefficients, </w:t>
      </w:r>
      <w:r w:rsidR="00B75AD7" w:rsidRPr="008C6BE4">
        <w:rPr>
          <w:rFonts w:asciiTheme="majorBidi" w:hAnsiTheme="majorBidi" w:cstheme="majorBidi"/>
          <w:color w:val="000000"/>
        </w:rPr>
        <w:t>multiple correlation coefficient ®, coefficient of determination (R</w:t>
      </w:r>
      <w:r w:rsidR="00B75AD7" w:rsidRPr="008C6BE4">
        <w:rPr>
          <w:rFonts w:asciiTheme="majorBidi" w:hAnsiTheme="majorBidi" w:cstheme="majorBidi"/>
          <w:color w:val="000000"/>
          <w:vertAlign w:val="superscript"/>
        </w:rPr>
        <w:t>2</w:t>
      </w:r>
      <w:r w:rsidR="00B75AD7" w:rsidRPr="008C6BE4">
        <w:rPr>
          <w:rFonts w:asciiTheme="majorBidi" w:hAnsiTheme="majorBidi" w:cstheme="majorBidi"/>
          <w:color w:val="000000"/>
        </w:rPr>
        <w:t xml:space="preserve">), measure </w:t>
      </w:r>
      <w:r w:rsidR="00B75AD7" w:rsidRPr="008C6BE4">
        <w:rPr>
          <w:rFonts w:asciiTheme="majorBidi" w:hAnsiTheme="majorBidi" w:cstheme="majorBidi"/>
          <w:color w:val="000000"/>
        </w:rPr>
        <w:t>of variance accounted for the number of independent variables (adjusted R</w:t>
      </w:r>
      <w:r w:rsidR="00B75AD7" w:rsidRPr="008C6BE4">
        <w:rPr>
          <w:rFonts w:asciiTheme="majorBidi" w:hAnsiTheme="majorBidi" w:cstheme="majorBidi"/>
          <w:color w:val="000000"/>
          <w:vertAlign w:val="superscript"/>
        </w:rPr>
        <w:t>2</w:t>
      </w:r>
      <w:r w:rsidR="00B75AD7" w:rsidRPr="008C6BE4">
        <w:rPr>
          <w:rFonts w:asciiTheme="majorBidi" w:hAnsiTheme="majorBidi" w:cstheme="majorBidi"/>
          <w:color w:val="000000"/>
        </w:rPr>
        <w:t xml:space="preserve">), effectiveness of the independent for prediction dependent variables (F-ratio), </w:t>
      </w:r>
      <w:r w:rsidR="00AA4FD9" w:rsidRPr="008C6BE4">
        <w:rPr>
          <w:rFonts w:asciiTheme="majorBidi" w:hAnsiTheme="majorBidi" w:cstheme="majorBidi"/>
          <w:color w:val="000000"/>
        </w:rPr>
        <w:t xml:space="preserve">and the F-ratio associated significance. </w:t>
      </w:r>
      <w:r w:rsidR="000C3DC2" w:rsidRPr="008C6BE4">
        <w:rPr>
          <w:rFonts w:asciiTheme="majorBidi" w:hAnsiTheme="majorBidi" w:cstheme="majorBidi"/>
          <w:color w:val="000000"/>
        </w:rPr>
        <w:t xml:space="preserve"> We adopted APDs Class I as reference and accordingly we recode other APDs II-IV into different dummy variables</w:t>
      </w:r>
    </w:p>
    <w:p w14:paraId="4C1D0D8F" w14:textId="77777777" w:rsidR="008C6BE4" w:rsidRDefault="008C6BE4" w:rsidP="005647C0">
      <w:pPr>
        <w:pStyle w:val="NormalWeb"/>
        <w:jc w:val="both"/>
        <w:rPr>
          <w:rFonts w:asciiTheme="majorBidi" w:hAnsiTheme="majorBidi" w:cstheme="majorBidi"/>
          <w:color w:val="000000"/>
        </w:rPr>
        <w:sectPr w:rsidR="008C6BE4" w:rsidSect="008D611E">
          <w:type w:val="continuous"/>
          <w:pgSz w:w="12240" w:h="15840" w:code="1"/>
          <w:pgMar w:top="990" w:right="1440" w:bottom="1440" w:left="1440" w:header="720" w:footer="720" w:gutter="0"/>
          <w:cols w:num="2" w:space="720"/>
          <w:docGrid w:linePitch="360"/>
        </w:sectPr>
      </w:pPr>
    </w:p>
    <w:p w14:paraId="26C395B1" w14:textId="77777777" w:rsidR="008C6BE4" w:rsidRDefault="008C6BE4" w:rsidP="005647C0">
      <w:pPr>
        <w:pStyle w:val="NormalWeb"/>
        <w:ind w:firstLine="720"/>
        <w:rPr>
          <w:rFonts w:asciiTheme="majorBidi" w:hAnsiTheme="majorBidi" w:cstheme="majorBidi"/>
          <w:color w:val="000000"/>
        </w:rPr>
      </w:pPr>
    </w:p>
    <w:p w14:paraId="76828C30" w14:textId="77777777" w:rsidR="008C6BE4" w:rsidRDefault="008C6BE4" w:rsidP="005647C0">
      <w:pPr>
        <w:pStyle w:val="NormalWeb"/>
        <w:ind w:firstLine="720"/>
        <w:rPr>
          <w:rFonts w:asciiTheme="majorBidi" w:hAnsiTheme="majorBidi" w:cstheme="majorBidi"/>
          <w:color w:val="000000"/>
        </w:rPr>
        <w:sectPr w:rsidR="008C6BE4" w:rsidSect="00825FAB">
          <w:type w:val="continuous"/>
          <w:pgSz w:w="12240" w:h="15840" w:code="1"/>
          <w:pgMar w:top="720" w:right="1440" w:bottom="1440" w:left="1440" w:header="720" w:footer="720" w:gutter="0"/>
          <w:cols w:space="720"/>
          <w:docGrid w:linePitch="360"/>
        </w:sectPr>
      </w:pPr>
    </w:p>
    <w:p w14:paraId="76B5204D" w14:textId="5DB8166E" w:rsidR="00163438" w:rsidRPr="008C6BE4" w:rsidRDefault="005647C0" w:rsidP="005647C0">
      <w:pPr>
        <w:pStyle w:val="NormalWeb"/>
        <w:rPr>
          <w:rFonts w:asciiTheme="majorBidi" w:hAnsiTheme="majorBidi" w:cstheme="majorBidi"/>
          <w:b/>
          <w:bCs/>
          <w:color w:val="000000"/>
        </w:rPr>
      </w:pPr>
      <w:r w:rsidRPr="008C6BE4">
        <w:rPr>
          <w:rFonts w:asciiTheme="majorBidi" w:hAnsiTheme="majorBidi" w:cstheme="majorBidi"/>
          <w:color w:val="000000"/>
        </w:rPr>
        <w:t xml:space="preserve">  </w:t>
      </w:r>
      <w:r w:rsidRPr="008C6BE4">
        <w:rPr>
          <w:rFonts w:asciiTheme="majorBidi" w:hAnsiTheme="majorBidi" w:cstheme="majorBidi"/>
          <w:b/>
          <w:bCs/>
          <w:color w:val="000000"/>
        </w:rPr>
        <w:t>Results</w:t>
      </w:r>
    </w:p>
    <w:p w14:paraId="6C737496" w14:textId="2015D807" w:rsidR="004B3537" w:rsidRPr="008C6BE4" w:rsidRDefault="0032264A" w:rsidP="005647C0">
      <w:pPr>
        <w:pStyle w:val="NormalWeb"/>
        <w:spacing w:before="0" w:beforeAutospacing="0" w:after="160" w:afterAutospacing="0"/>
        <w:jc w:val="both"/>
        <w:rPr>
          <w:rFonts w:asciiTheme="majorBidi" w:hAnsiTheme="majorBidi" w:cstheme="majorBidi"/>
          <w:color w:val="000000"/>
        </w:rPr>
      </w:pPr>
      <w:r w:rsidRPr="008C6BE4">
        <w:rPr>
          <w:rFonts w:asciiTheme="majorBidi" w:hAnsiTheme="majorBidi" w:cstheme="majorBidi"/>
          <w:color w:val="000000"/>
        </w:rPr>
        <w:t xml:space="preserve">This study looked at 303 people who had been diagnosed with schizophrenia spectrum disorder. We put all of the eligible patients into four APD classes based on how the APDs were made and whether IAPs were present or not. Class I is made up of only older APDs, like haloperidol tablets, risperidone tablets, and </w:t>
      </w:r>
      <w:proofErr w:type="spellStart"/>
      <w:r w:rsidRPr="008C6BE4">
        <w:rPr>
          <w:rFonts w:asciiTheme="majorBidi" w:hAnsiTheme="majorBidi" w:cstheme="majorBidi"/>
          <w:color w:val="000000"/>
        </w:rPr>
        <w:t>amisulpride</w:t>
      </w:r>
      <w:proofErr w:type="spellEnd"/>
      <w:r w:rsidRPr="008C6BE4">
        <w:rPr>
          <w:rFonts w:asciiTheme="majorBidi" w:hAnsiTheme="majorBidi" w:cstheme="majorBidi"/>
          <w:color w:val="000000"/>
        </w:rPr>
        <w:t xml:space="preserve"> tablets. Some examples of APDs in Class II are Fluphenazine LA, Flupentixol LA, Haloperidol LA, and Zuclopenthixol LA. These drugs are older orals with somewhat older IAPs. Modern oral antipsychotic drugs (APDs), such as quetiapine, olanzapine, aripiprazole, and paliperidone, are in Class III. The Class IV group includes Class III APDs as well as newer IAPs like Paliperidone LA and Risperdal </w:t>
      </w:r>
      <w:proofErr w:type="spellStart"/>
      <w:r w:rsidRPr="008C6BE4">
        <w:rPr>
          <w:rFonts w:asciiTheme="majorBidi" w:hAnsiTheme="majorBidi" w:cstheme="majorBidi"/>
          <w:color w:val="000000"/>
        </w:rPr>
        <w:t>consta</w:t>
      </w:r>
      <w:proofErr w:type="spellEnd"/>
      <w:r w:rsidRPr="008C6BE4">
        <w:rPr>
          <w:rFonts w:asciiTheme="majorBidi" w:hAnsiTheme="majorBidi" w:cstheme="majorBidi"/>
          <w:color w:val="000000"/>
        </w:rPr>
        <w:t>. About 23.76% of the patients, or 72, were put in the APDs' Class I category. There were 91 patients in APD's Class II, which is about 30.03% of the total. In the same way, 51 patients, or 16.83%, were put into APDs' Class III. Finally, 89 patients with Class IV APDs were included, which is about 29.37% of the total.</w:t>
      </w:r>
    </w:p>
    <w:p w14:paraId="7A9F643E" w14:textId="187C71F5" w:rsidR="004B3537" w:rsidRPr="008C6BE4" w:rsidRDefault="0032264A" w:rsidP="005647C0">
      <w:pPr>
        <w:pStyle w:val="NormalWeb"/>
        <w:jc w:val="both"/>
        <w:rPr>
          <w:rFonts w:asciiTheme="majorBidi" w:hAnsiTheme="majorBidi" w:cstheme="majorBidi"/>
        </w:rPr>
      </w:pPr>
      <w:r w:rsidRPr="008C6BE4">
        <w:rPr>
          <w:rFonts w:asciiTheme="majorBidi" w:hAnsiTheme="majorBidi" w:cstheme="majorBidi"/>
        </w:rPr>
        <w:t xml:space="preserve">In all four APD classes, the distribution of gender did not matter. The total for men and women was about the same: 140 (46.2%) for men and 163 (53.8%) for women, p-value = 0.528. In this study, women were slightly more likely than men to use older oral APDs without or with older IAPs [39 (54.2%) vs. 33 (45.8%) or 54 (59.3%) vs. 37 (40.7%), </w:t>
      </w:r>
      <w:r w:rsidRPr="008C6BE4">
        <w:rPr>
          <w:rFonts w:asciiTheme="majorBidi" w:hAnsiTheme="majorBidi" w:cstheme="majorBidi"/>
        </w:rPr>
        <w:t>respectively]. Men were less likely than women to pick oral newer APDs but more likely to pick their congeners of newer IAPs [27 (52.9%) vs. 24 (47.1%) and 43 (48.3%) vs. 46 (51.7%), respectively].</w:t>
      </w:r>
      <w:r w:rsidR="00E4600F" w:rsidRPr="008C6BE4">
        <w:rPr>
          <w:rFonts w:asciiTheme="majorBidi" w:hAnsiTheme="majorBidi" w:cstheme="majorBidi"/>
          <w:rtl/>
        </w:rPr>
        <w:t xml:space="preserve"> </w:t>
      </w:r>
      <w:r w:rsidRPr="008C6BE4">
        <w:rPr>
          <w:rFonts w:asciiTheme="majorBidi" w:hAnsiTheme="majorBidi" w:cstheme="majorBidi"/>
        </w:rPr>
        <w:t>The early elderly (60–70 years) age group had the highest percentage of people with schizophrenia spectrum disorder (57 (18.8%), then the pre-elderly (50–60 years) age group [196 (64.7%)]. Regarding the older age groups of 70–80 years and &gt;=80 years, they had smaller percentages [42 (13.9%) and 8 (2.6%), respectively]. This could be because their families didn't know about these syndromes that affect older patients.</w:t>
      </w:r>
    </w:p>
    <w:p w14:paraId="3014DE9D" w14:textId="77777777" w:rsidR="00E4600F" w:rsidRPr="008C6BE4" w:rsidRDefault="0032264A" w:rsidP="005647C0">
      <w:pPr>
        <w:pStyle w:val="NormalWeb"/>
        <w:jc w:val="both"/>
        <w:rPr>
          <w:rFonts w:asciiTheme="majorBidi" w:hAnsiTheme="majorBidi" w:cstheme="majorBidi"/>
          <w:color w:val="000000"/>
          <w:rtl/>
        </w:rPr>
      </w:pPr>
      <w:r w:rsidRPr="008C6BE4">
        <w:rPr>
          <w:rFonts w:asciiTheme="majorBidi" w:hAnsiTheme="majorBidi" w:cstheme="majorBidi"/>
          <w:color w:val="000000"/>
        </w:rPr>
        <w:t>Most of the patients who were tested had positive symptoms in the domain that was scored between 28 and 34 points. Following this were 21 to 27 points, 14 to 20 points, 35 to 41 points, and finally 7 to 13 points. Most of the patients had a score between 28 and 34 points for their negative symptoms. The next most common scores were between 21 and 27 points, 35 to 41 points, 14 to 20 points, 42 to 49 points, and finally between 7 and 13 points. When it came to psychopathological symptoms, most of the patients who were studied got scores between 64 and 79 points. The next most common scores were 48 to 63 points, then 80 to 95 points, and finally 32 to 47 points.</w:t>
      </w:r>
    </w:p>
    <w:p w14:paraId="4676741C" w14:textId="0DFC906C" w:rsidR="00AB418A" w:rsidRDefault="00E4600F" w:rsidP="009331FD">
      <w:pPr>
        <w:pStyle w:val="NormalWeb"/>
        <w:spacing w:before="0" w:beforeAutospacing="0"/>
        <w:jc w:val="both"/>
        <w:rPr>
          <w:rFonts w:asciiTheme="majorBidi" w:hAnsiTheme="majorBidi" w:cstheme="majorBidi"/>
        </w:rPr>
      </w:pPr>
      <w:r w:rsidRPr="008C6BE4">
        <w:rPr>
          <w:rFonts w:asciiTheme="majorBidi" w:hAnsiTheme="majorBidi" w:cstheme="majorBidi"/>
        </w:rPr>
        <w:t xml:space="preserve">A responsiveness of at least -20% from baseline was used in this study, as in others. Positively symptomatic patients responded 79.2% (240 out of 303 patients) to the 4 APD </w:t>
      </w:r>
      <w:r w:rsidRPr="008C6BE4">
        <w:rPr>
          <w:rFonts w:asciiTheme="majorBidi" w:hAnsiTheme="majorBidi" w:cstheme="majorBidi"/>
        </w:rPr>
        <w:lastRenderedPageBreak/>
        <w:t>classes studied (Class I–IV), compared to 20.8% (63 out of 303 patients) who responded below 20%. Most patients who responded received APDs Class II (older oral and injectable), then Class I, then Class IV, and finally Class III [84 (92.3%), 63 (87.5%), 60 (67.4%), and 33 (64.7%), in that order]. In the tested APD classes (Class I–IV), psychopathological responsiveness rates were significant but lower than positive symptoms responsiveness rates. There, 34.3% (104 patients out of 303 patients) were responsive and 65.7% (199 patients out of 303 patients) were unresponsive. APD Class IV patients responded best, followed by Class III patients. The residual responsiveness rate was similar for APD Classes I and II. [66 (74.2%), 34 (66.7%), 2 (2.8%), and 2 (2.2%), respectively]. We found no significant response to negative symptoms in our APD classes compared to positive and psychopathological symptoms. Overall responsiveness was 40.6% (123 patients out of 303), while negative symptoms domain unresponsiveness was 59.4% (180 patients). APD classes I–IV had similar responsiveness rates: 25 (34.7%), 41 (45.1%), 22 (43.1%), and 35 (39.3%</w:t>
      </w:r>
      <w:proofErr w:type="gramStart"/>
      <w:r w:rsidRPr="008C6BE4">
        <w:rPr>
          <w:rFonts w:asciiTheme="majorBidi" w:hAnsiTheme="majorBidi" w:cstheme="majorBidi"/>
        </w:rPr>
        <w:t>).</w:t>
      </w:r>
      <w:r w:rsidR="008B6801" w:rsidRPr="008C6BE4">
        <w:rPr>
          <w:rFonts w:asciiTheme="majorBidi" w:hAnsiTheme="majorBidi" w:cstheme="majorBidi"/>
        </w:rPr>
        <w:t>A</w:t>
      </w:r>
      <w:proofErr w:type="gramEnd"/>
      <w:r w:rsidR="008B6801" w:rsidRPr="008C6BE4">
        <w:rPr>
          <w:rFonts w:asciiTheme="majorBidi" w:hAnsiTheme="majorBidi" w:cstheme="majorBidi"/>
        </w:rPr>
        <w:t xml:space="preserve"> multiple linear regression</w:t>
      </w:r>
      <w:r w:rsidR="008223FB" w:rsidRPr="008C6BE4">
        <w:rPr>
          <w:rFonts w:asciiTheme="majorBidi" w:hAnsiTheme="majorBidi" w:cstheme="majorBidi"/>
        </w:rPr>
        <w:t xml:space="preserve"> analysis</w:t>
      </w:r>
      <w:r w:rsidR="008B6801" w:rsidRPr="008C6BE4">
        <w:rPr>
          <w:rFonts w:asciiTheme="majorBidi" w:hAnsiTheme="majorBidi" w:cstheme="majorBidi"/>
        </w:rPr>
        <w:t xml:space="preserve"> was run to predict responsiveness percentage, as determined by % Δ </w:t>
      </w:r>
      <w:r w:rsidR="008223FB" w:rsidRPr="008C6BE4">
        <w:rPr>
          <w:rFonts w:asciiTheme="majorBidi" w:hAnsiTheme="majorBidi" w:cstheme="majorBidi"/>
        </w:rPr>
        <w:t xml:space="preserve">for each of the 3 investigated </w:t>
      </w:r>
      <w:proofErr w:type="spellStart"/>
      <w:r w:rsidR="008223FB" w:rsidRPr="008C6BE4">
        <w:rPr>
          <w:rFonts w:asciiTheme="majorBidi" w:hAnsiTheme="majorBidi" w:cstheme="majorBidi"/>
        </w:rPr>
        <w:t>psychosymptomatic</w:t>
      </w:r>
      <w:proofErr w:type="spellEnd"/>
      <w:r w:rsidR="008223FB" w:rsidRPr="008C6BE4">
        <w:rPr>
          <w:rFonts w:asciiTheme="majorBidi" w:hAnsiTheme="majorBidi" w:cstheme="majorBidi"/>
        </w:rPr>
        <w:t xml:space="preserve"> domain from baseline, according to patients adopted antipsychotic class while considering their adherence patterns as a </w:t>
      </w:r>
      <w:r w:rsidR="008223FB" w:rsidRPr="008C6BE4">
        <w:rPr>
          <w:rFonts w:asciiTheme="majorBidi" w:hAnsiTheme="majorBidi" w:cstheme="majorBidi"/>
        </w:rPr>
        <w:t xml:space="preserve">significant interacting independent variable. </w:t>
      </w:r>
      <w:r w:rsidR="008B6801" w:rsidRPr="008C6BE4">
        <w:rPr>
          <w:rFonts w:asciiTheme="majorBidi" w:hAnsiTheme="majorBidi" w:cstheme="majorBidi"/>
        </w:rPr>
        <w:t>This resulted in a significant model</w:t>
      </w:r>
      <w:r w:rsidR="008223FB" w:rsidRPr="008C6BE4">
        <w:rPr>
          <w:rFonts w:asciiTheme="majorBidi" w:hAnsiTheme="majorBidi" w:cstheme="majorBidi"/>
        </w:rPr>
        <w:t xml:space="preserve"> in both %Δ</w:t>
      </w:r>
      <w:r w:rsidR="002A1F36" w:rsidRPr="008C6BE4">
        <w:rPr>
          <w:rFonts w:asciiTheme="majorBidi" w:hAnsiTheme="majorBidi" w:cstheme="majorBidi"/>
        </w:rPr>
        <w:t xml:space="preserve"> positive domain and %</w:t>
      </w:r>
      <w:r w:rsidR="008223FB" w:rsidRPr="008C6BE4">
        <w:rPr>
          <w:rFonts w:asciiTheme="majorBidi" w:hAnsiTheme="majorBidi" w:cstheme="majorBidi"/>
        </w:rPr>
        <w:t>Δ</w:t>
      </w:r>
      <w:r w:rsidR="002A1F36" w:rsidRPr="008C6BE4">
        <w:rPr>
          <w:rFonts w:asciiTheme="majorBidi" w:hAnsiTheme="majorBidi" w:cstheme="majorBidi"/>
        </w:rPr>
        <w:t xml:space="preserve"> psychopathological domain [</w:t>
      </w:r>
      <w:proofErr w:type="gramStart"/>
      <w:r w:rsidR="008B6801" w:rsidRPr="008C6BE4">
        <w:rPr>
          <w:rFonts w:asciiTheme="majorBidi" w:hAnsiTheme="majorBidi" w:cstheme="majorBidi"/>
          <w:i/>
          <w:iCs/>
        </w:rPr>
        <w:t>F</w:t>
      </w:r>
      <w:r w:rsidR="008B6801" w:rsidRPr="008C6BE4">
        <w:rPr>
          <w:rFonts w:asciiTheme="majorBidi" w:hAnsiTheme="majorBidi" w:cstheme="majorBidi"/>
        </w:rPr>
        <w:t>(</w:t>
      </w:r>
      <w:proofErr w:type="gramEnd"/>
      <w:r w:rsidR="000C3DC2" w:rsidRPr="008C6BE4">
        <w:rPr>
          <w:rFonts w:asciiTheme="majorBidi" w:hAnsiTheme="majorBidi" w:cstheme="majorBidi"/>
        </w:rPr>
        <w:t>4</w:t>
      </w:r>
      <w:r w:rsidR="008B6801" w:rsidRPr="008C6BE4">
        <w:rPr>
          <w:rFonts w:asciiTheme="majorBidi" w:hAnsiTheme="majorBidi" w:cstheme="majorBidi"/>
        </w:rPr>
        <w:t xml:space="preserve">, </w:t>
      </w:r>
      <w:r w:rsidR="000C3DC2" w:rsidRPr="008C6BE4">
        <w:rPr>
          <w:rFonts w:asciiTheme="majorBidi" w:hAnsiTheme="majorBidi" w:cstheme="majorBidi"/>
        </w:rPr>
        <w:t>298</w:t>
      </w:r>
      <w:r w:rsidR="008B6801" w:rsidRPr="008C6BE4">
        <w:rPr>
          <w:rFonts w:asciiTheme="majorBidi" w:hAnsiTheme="majorBidi" w:cstheme="majorBidi"/>
        </w:rPr>
        <w:t xml:space="preserve">) = </w:t>
      </w:r>
      <w:r w:rsidR="000C3DC2" w:rsidRPr="008C6BE4">
        <w:rPr>
          <w:rFonts w:asciiTheme="majorBidi" w:hAnsiTheme="majorBidi" w:cstheme="majorBidi"/>
        </w:rPr>
        <w:t>19.763</w:t>
      </w:r>
      <w:r w:rsidR="008B6801" w:rsidRPr="008C6BE4">
        <w:rPr>
          <w:rFonts w:asciiTheme="majorBidi" w:hAnsiTheme="majorBidi" w:cstheme="majorBidi"/>
        </w:rPr>
        <w:t>, </w:t>
      </w:r>
      <w:r w:rsidR="008B6801" w:rsidRPr="008C6BE4">
        <w:rPr>
          <w:rFonts w:asciiTheme="majorBidi" w:hAnsiTheme="majorBidi" w:cstheme="majorBidi"/>
          <w:i/>
          <w:iCs/>
        </w:rPr>
        <w:t>p</w:t>
      </w:r>
      <w:r w:rsidR="008B6801" w:rsidRPr="008C6BE4">
        <w:rPr>
          <w:rFonts w:asciiTheme="majorBidi" w:hAnsiTheme="majorBidi" w:cstheme="majorBidi"/>
        </w:rPr>
        <w:t xml:space="preserve"> &lt; </w:t>
      </w:r>
      <w:r w:rsidR="002A1F36" w:rsidRPr="008C6BE4">
        <w:rPr>
          <w:rFonts w:asciiTheme="majorBidi" w:hAnsiTheme="majorBidi" w:cstheme="majorBidi"/>
        </w:rPr>
        <w:t>0</w:t>
      </w:r>
      <w:r w:rsidR="008B6801" w:rsidRPr="008C6BE4">
        <w:rPr>
          <w:rFonts w:asciiTheme="majorBidi" w:hAnsiTheme="majorBidi" w:cstheme="majorBidi"/>
        </w:rPr>
        <w:t>.01, </w:t>
      </w:r>
      <w:r w:rsidR="008B6801" w:rsidRPr="008C6BE4">
        <w:rPr>
          <w:rFonts w:asciiTheme="majorBidi" w:hAnsiTheme="majorBidi" w:cstheme="majorBidi"/>
          <w:i/>
          <w:iCs/>
        </w:rPr>
        <w:t>R</w:t>
      </w:r>
      <w:r w:rsidR="008B6801" w:rsidRPr="008C6BE4">
        <w:rPr>
          <w:rFonts w:asciiTheme="majorBidi" w:hAnsiTheme="majorBidi" w:cstheme="majorBidi"/>
          <w:i/>
          <w:iCs/>
          <w:vertAlign w:val="superscript"/>
        </w:rPr>
        <w:t>2</w:t>
      </w:r>
      <w:r w:rsidR="008B6801" w:rsidRPr="008C6BE4">
        <w:rPr>
          <w:rFonts w:asciiTheme="majorBidi" w:hAnsiTheme="majorBidi" w:cstheme="majorBidi"/>
        </w:rPr>
        <w:t xml:space="preserve"> = </w:t>
      </w:r>
      <w:r w:rsidR="002A1F36" w:rsidRPr="008C6BE4">
        <w:rPr>
          <w:rFonts w:asciiTheme="majorBidi" w:hAnsiTheme="majorBidi" w:cstheme="majorBidi"/>
        </w:rPr>
        <w:t>0.2</w:t>
      </w:r>
      <w:r w:rsidR="000C3DC2" w:rsidRPr="008C6BE4">
        <w:rPr>
          <w:rFonts w:asciiTheme="majorBidi" w:hAnsiTheme="majorBidi" w:cstheme="majorBidi"/>
        </w:rPr>
        <w:t>10</w:t>
      </w:r>
      <w:r w:rsidR="002A1F36" w:rsidRPr="008C6BE4">
        <w:rPr>
          <w:rFonts w:asciiTheme="majorBidi" w:hAnsiTheme="majorBidi" w:cstheme="majorBidi"/>
        </w:rPr>
        <w:t>]</w:t>
      </w:r>
      <w:r w:rsidR="008B6801" w:rsidRPr="008C6BE4">
        <w:rPr>
          <w:rFonts w:asciiTheme="majorBidi" w:hAnsiTheme="majorBidi" w:cstheme="majorBidi"/>
        </w:rPr>
        <w:t xml:space="preserve"> </w:t>
      </w:r>
      <w:r w:rsidR="002A1F36" w:rsidRPr="008C6BE4">
        <w:rPr>
          <w:rFonts w:asciiTheme="majorBidi" w:hAnsiTheme="majorBidi" w:cstheme="majorBidi"/>
        </w:rPr>
        <w:t>and [</w:t>
      </w:r>
      <w:r w:rsidR="002A1F36" w:rsidRPr="008C6BE4">
        <w:rPr>
          <w:rFonts w:asciiTheme="majorBidi" w:hAnsiTheme="majorBidi" w:cstheme="majorBidi"/>
          <w:i/>
          <w:iCs/>
        </w:rPr>
        <w:t>F</w:t>
      </w:r>
      <w:r w:rsidR="002A1F36" w:rsidRPr="008C6BE4">
        <w:rPr>
          <w:rFonts w:asciiTheme="majorBidi" w:hAnsiTheme="majorBidi" w:cstheme="majorBidi"/>
        </w:rPr>
        <w:t>(</w:t>
      </w:r>
      <w:r w:rsidR="000C3DC2" w:rsidRPr="008C6BE4">
        <w:rPr>
          <w:rFonts w:asciiTheme="majorBidi" w:hAnsiTheme="majorBidi" w:cstheme="majorBidi"/>
        </w:rPr>
        <w:t>4</w:t>
      </w:r>
      <w:r w:rsidR="002A1F36" w:rsidRPr="008C6BE4">
        <w:rPr>
          <w:rFonts w:asciiTheme="majorBidi" w:hAnsiTheme="majorBidi" w:cstheme="majorBidi"/>
        </w:rPr>
        <w:t xml:space="preserve">, </w:t>
      </w:r>
      <w:r w:rsidR="000C3DC2" w:rsidRPr="008C6BE4">
        <w:rPr>
          <w:rFonts w:asciiTheme="majorBidi" w:hAnsiTheme="majorBidi" w:cstheme="majorBidi"/>
        </w:rPr>
        <w:t>298</w:t>
      </w:r>
      <w:r w:rsidR="002A1F36" w:rsidRPr="008C6BE4">
        <w:rPr>
          <w:rFonts w:asciiTheme="majorBidi" w:hAnsiTheme="majorBidi" w:cstheme="majorBidi"/>
        </w:rPr>
        <w:t xml:space="preserve">) = </w:t>
      </w:r>
      <w:r w:rsidR="000C3DC2" w:rsidRPr="008C6BE4">
        <w:rPr>
          <w:rFonts w:asciiTheme="majorBidi" w:hAnsiTheme="majorBidi" w:cstheme="majorBidi"/>
        </w:rPr>
        <w:t>153.80</w:t>
      </w:r>
      <w:r w:rsidR="002A1F36" w:rsidRPr="008C6BE4">
        <w:rPr>
          <w:rFonts w:asciiTheme="majorBidi" w:hAnsiTheme="majorBidi" w:cstheme="majorBidi"/>
        </w:rPr>
        <w:t>, </w:t>
      </w:r>
      <w:r w:rsidR="002A1F36" w:rsidRPr="008C6BE4">
        <w:rPr>
          <w:rFonts w:asciiTheme="majorBidi" w:hAnsiTheme="majorBidi" w:cstheme="majorBidi"/>
          <w:i/>
          <w:iCs/>
        </w:rPr>
        <w:t>p</w:t>
      </w:r>
      <w:r w:rsidR="002A1F36" w:rsidRPr="008C6BE4">
        <w:rPr>
          <w:rFonts w:asciiTheme="majorBidi" w:hAnsiTheme="majorBidi" w:cstheme="majorBidi"/>
        </w:rPr>
        <w:t> &lt; 0.01, </w:t>
      </w:r>
      <w:r w:rsidR="002A1F36" w:rsidRPr="008C6BE4">
        <w:rPr>
          <w:rFonts w:asciiTheme="majorBidi" w:hAnsiTheme="majorBidi" w:cstheme="majorBidi"/>
          <w:i/>
          <w:iCs/>
        </w:rPr>
        <w:t>R</w:t>
      </w:r>
      <w:r w:rsidR="002A1F36" w:rsidRPr="008C6BE4">
        <w:rPr>
          <w:rFonts w:asciiTheme="majorBidi" w:hAnsiTheme="majorBidi" w:cstheme="majorBidi"/>
          <w:i/>
          <w:iCs/>
          <w:vertAlign w:val="superscript"/>
        </w:rPr>
        <w:t>2</w:t>
      </w:r>
      <w:r w:rsidR="002A1F36" w:rsidRPr="008C6BE4">
        <w:rPr>
          <w:rFonts w:asciiTheme="majorBidi" w:hAnsiTheme="majorBidi" w:cstheme="majorBidi"/>
        </w:rPr>
        <w:t> = 0.6</w:t>
      </w:r>
      <w:r w:rsidR="000C3DC2" w:rsidRPr="008C6BE4">
        <w:rPr>
          <w:rFonts w:asciiTheme="majorBidi" w:hAnsiTheme="majorBidi" w:cstheme="majorBidi"/>
        </w:rPr>
        <w:t>74</w:t>
      </w:r>
      <w:r w:rsidR="002A1F36" w:rsidRPr="008C6BE4">
        <w:rPr>
          <w:rFonts w:asciiTheme="majorBidi" w:hAnsiTheme="majorBidi" w:cstheme="majorBidi"/>
        </w:rPr>
        <w:t>], respectively, while in %Δ negative domain was not [</w:t>
      </w:r>
      <w:r w:rsidR="002A1F36" w:rsidRPr="008C6BE4">
        <w:rPr>
          <w:rFonts w:asciiTheme="majorBidi" w:hAnsiTheme="majorBidi" w:cstheme="majorBidi"/>
          <w:i/>
          <w:iCs/>
        </w:rPr>
        <w:t>F</w:t>
      </w:r>
      <w:r w:rsidR="002A1F36" w:rsidRPr="008C6BE4">
        <w:rPr>
          <w:rFonts w:asciiTheme="majorBidi" w:hAnsiTheme="majorBidi" w:cstheme="majorBidi"/>
        </w:rPr>
        <w:t>(2, 3</w:t>
      </w:r>
      <w:r w:rsidR="000C3DC2" w:rsidRPr="008C6BE4">
        <w:rPr>
          <w:rFonts w:asciiTheme="majorBidi" w:hAnsiTheme="majorBidi" w:cstheme="majorBidi"/>
        </w:rPr>
        <w:t>298</w:t>
      </w:r>
      <w:r w:rsidR="002A1F36" w:rsidRPr="008C6BE4">
        <w:rPr>
          <w:rFonts w:asciiTheme="majorBidi" w:hAnsiTheme="majorBidi" w:cstheme="majorBidi"/>
        </w:rPr>
        <w:t>) = 0.5</w:t>
      </w:r>
      <w:r w:rsidR="000C3DC2" w:rsidRPr="008C6BE4">
        <w:rPr>
          <w:rFonts w:asciiTheme="majorBidi" w:hAnsiTheme="majorBidi" w:cstheme="majorBidi"/>
        </w:rPr>
        <w:t>15</w:t>
      </w:r>
      <w:r w:rsidR="002A1F36" w:rsidRPr="008C6BE4">
        <w:rPr>
          <w:rFonts w:asciiTheme="majorBidi" w:hAnsiTheme="majorBidi" w:cstheme="majorBidi"/>
        </w:rPr>
        <w:t>, </w:t>
      </w:r>
      <w:r w:rsidR="002A1F36" w:rsidRPr="008C6BE4">
        <w:rPr>
          <w:rFonts w:asciiTheme="majorBidi" w:hAnsiTheme="majorBidi" w:cstheme="majorBidi"/>
          <w:i/>
          <w:iCs/>
        </w:rPr>
        <w:t>p</w:t>
      </w:r>
      <w:r w:rsidR="002A1F36" w:rsidRPr="008C6BE4">
        <w:rPr>
          <w:rFonts w:asciiTheme="majorBidi" w:hAnsiTheme="majorBidi" w:cstheme="majorBidi"/>
        </w:rPr>
        <w:t> &gt;0.05, </w:t>
      </w:r>
      <w:r w:rsidR="002A1F36" w:rsidRPr="008C6BE4">
        <w:rPr>
          <w:rFonts w:asciiTheme="majorBidi" w:hAnsiTheme="majorBidi" w:cstheme="majorBidi"/>
          <w:i/>
          <w:iCs/>
        </w:rPr>
        <w:t>R</w:t>
      </w:r>
      <w:r w:rsidR="002A1F36" w:rsidRPr="008C6BE4">
        <w:rPr>
          <w:rFonts w:asciiTheme="majorBidi" w:hAnsiTheme="majorBidi" w:cstheme="majorBidi"/>
          <w:i/>
          <w:iCs/>
          <w:vertAlign w:val="superscript"/>
        </w:rPr>
        <w:t>2</w:t>
      </w:r>
      <w:r w:rsidR="002A1F36" w:rsidRPr="008C6BE4">
        <w:rPr>
          <w:rFonts w:asciiTheme="majorBidi" w:hAnsiTheme="majorBidi" w:cstheme="majorBidi"/>
        </w:rPr>
        <w:t> = 0.</w:t>
      </w:r>
      <w:r w:rsidR="000C3DC2" w:rsidRPr="008C6BE4">
        <w:rPr>
          <w:rFonts w:asciiTheme="majorBidi" w:hAnsiTheme="majorBidi" w:cstheme="majorBidi"/>
        </w:rPr>
        <w:t>515</w:t>
      </w:r>
      <w:r w:rsidR="002A1F36" w:rsidRPr="008C6BE4">
        <w:rPr>
          <w:rFonts w:asciiTheme="majorBidi" w:hAnsiTheme="majorBidi" w:cstheme="majorBidi"/>
        </w:rPr>
        <w:t xml:space="preserve">]. </w:t>
      </w:r>
      <w:r w:rsidR="008B6801" w:rsidRPr="008C6BE4">
        <w:rPr>
          <w:rFonts w:asciiTheme="majorBidi" w:hAnsiTheme="majorBidi" w:cstheme="majorBidi"/>
        </w:rPr>
        <w:t>The individual predictors were examined further and indicated that </w:t>
      </w:r>
      <w:r w:rsidR="002A1F36" w:rsidRPr="008C6BE4">
        <w:rPr>
          <w:rFonts w:asciiTheme="majorBidi" w:hAnsiTheme="majorBidi" w:cstheme="majorBidi"/>
        </w:rPr>
        <w:t xml:space="preserve">both the tested </w:t>
      </w:r>
      <w:r w:rsidR="00431090" w:rsidRPr="008C6BE4">
        <w:rPr>
          <w:rFonts w:asciiTheme="majorBidi" w:hAnsiTheme="majorBidi" w:cstheme="majorBidi"/>
        </w:rPr>
        <w:t>4</w:t>
      </w:r>
      <w:r w:rsidR="002A1F36" w:rsidRPr="008C6BE4">
        <w:rPr>
          <w:rFonts w:asciiTheme="majorBidi" w:hAnsiTheme="majorBidi" w:cstheme="majorBidi"/>
        </w:rPr>
        <w:t xml:space="preserve"> independent variables; </w:t>
      </w:r>
      <w:r w:rsidR="00431090" w:rsidRPr="008C6BE4">
        <w:rPr>
          <w:rFonts w:asciiTheme="majorBidi" w:hAnsiTheme="majorBidi" w:cstheme="majorBidi"/>
        </w:rPr>
        <w:t xml:space="preserve">patients’ adherence pattern and </w:t>
      </w:r>
      <w:r w:rsidR="002A1F36" w:rsidRPr="008C6BE4">
        <w:rPr>
          <w:rFonts w:asciiTheme="majorBidi" w:hAnsiTheme="majorBidi" w:cstheme="majorBidi"/>
        </w:rPr>
        <w:t xml:space="preserve">antipsychotic class </w:t>
      </w:r>
      <w:r w:rsidR="000C3DC2" w:rsidRPr="008C6BE4">
        <w:rPr>
          <w:rFonts w:asciiTheme="majorBidi" w:hAnsiTheme="majorBidi" w:cstheme="majorBidi"/>
        </w:rPr>
        <w:t>I</w:t>
      </w:r>
      <w:r w:rsidR="002A1F36" w:rsidRPr="008C6BE4">
        <w:rPr>
          <w:rFonts w:asciiTheme="majorBidi" w:hAnsiTheme="majorBidi" w:cstheme="majorBidi"/>
        </w:rPr>
        <w:t xml:space="preserve">I-IV </w:t>
      </w:r>
      <w:r w:rsidR="000C3DC2" w:rsidRPr="008C6BE4">
        <w:rPr>
          <w:rFonts w:asciiTheme="majorBidi" w:hAnsiTheme="majorBidi" w:cstheme="majorBidi"/>
        </w:rPr>
        <w:t xml:space="preserve">dummy variables </w:t>
      </w:r>
      <w:r w:rsidR="00A83B89" w:rsidRPr="008C6BE4">
        <w:rPr>
          <w:rFonts w:asciiTheme="majorBidi" w:hAnsiTheme="majorBidi" w:cstheme="majorBidi"/>
        </w:rPr>
        <w:t>were significant predictors for the investigated %Δ positive domain and %Δ psychopathological domain</w:t>
      </w:r>
      <w:r w:rsidR="000C3DC2" w:rsidRPr="008C6BE4">
        <w:rPr>
          <w:rFonts w:asciiTheme="majorBidi" w:hAnsiTheme="majorBidi" w:cstheme="majorBidi"/>
        </w:rPr>
        <w:t>, except for APDs Class II dummy variables when we adopted APD</w:t>
      </w:r>
      <w:r w:rsidR="00431090" w:rsidRPr="008C6BE4">
        <w:rPr>
          <w:rFonts w:asciiTheme="majorBidi" w:hAnsiTheme="majorBidi" w:cstheme="majorBidi"/>
        </w:rPr>
        <w:t>s Class as a reference</w:t>
      </w:r>
      <w:r w:rsidR="00A83B89" w:rsidRPr="008C6BE4">
        <w:rPr>
          <w:rFonts w:asciiTheme="majorBidi" w:hAnsiTheme="majorBidi" w:cstheme="majorBidi"/>
        </w:rPr>
        <w:t xml:space="preserve"> [(t=</w:t>
      </w:r>
      <w:r w:rsidR="00431090" w:rsidRPr="008C6BE4">
        <w:rPr>
          <w:rFonts w:asciiTheme="majorBidi" w:hAnsiTheme="majorBidi" w:cstheme="majorBidi"/>
        </w:rPr>
        <w:t>2.588</w:t>
      </w:r>
      <w:r w:rsidR="00A83B89" w:rsidRPr="008C6BE4">
        <w:rPr>
          <w:rFonts w:asciiTheme="majorBidi" w:hAnsiTheme="majorBidi" w:cstheme="majorBidi"/>
        </w:rPr>
        <w:t>, p</w:t>
      </w:r>
      <w:r w:rsidR="00431090" w:rsidRPr="008C6BE4">
        <w:rPr>
          <w:rFonts w:asciiTheme="majorBidi" w:hAnsiTheme="majorBidi" w:cstheme="majorBidi"/>
        </w:rPr>
        <w:t>-value=0.010</w:t>
      </w:r>
      <w:r w:rsidR="00A83B89" w:rsidRPr="008C6BE4">
        <w:rPr>
          <w:rFonts w:asciiTheme="majorBidi" w:hAnsiTheme="majorBidi" w:cstheme="majorBidi"/>
        </w:rPr>
        <w:t>)</w:t>
      </w:r>
      <w:r w:rsidR="00431090" w:rsidRPr="008C6BE4">
        <w:rPr>
          <w:rFonts w:asciiTheme="majorBidi" w:hAnsiTheme="majorBidi" w:cstheme="majorBidi"/>
        </w:rPr>
        <w:t xml:space="preserve">, </w:t>
      </w:r>
      <w:r w:rsidR="00A83B89" w:rsidRPr="008C6BE4">
        <w:rPr>
          <w:rFonts w:asciiTheme="majorBidi" w:hAnsiTheme="majorBidi" w:cstheme="majorBidi"/>
        </w:rPr>
        <w:t xml:space="preserve"> (t=</w:t>
      </w:r>
      <w:r w:rsidR="00431090" w:rsidRPr="008C6BE4">
        <w:rPr>
          <w:rFonts w:asciiTheme="majorBidi" w:hAnsiTheme="majorBidi" w:cstheme="majorBidi"/>
        </w:rPr>
        <w:t>0.815</w:t>
      </w:r>
      <w:r w:rsidR="00A83B89" w:rsidRPr="008C6BE4">
        <w:rPr>
          <w:rFonts w:asciiTheme="majorBidi" w:hAnsiTheme="majorBidi" w:cstheme="majorBidi"/>
        </w:rPr>
        <w:t>, p</w:t>
      </w:r>
      <w:r w:rsidR="00431090" w:rsidRPr="008C6BE4">
        <w:rPr>
          <w:rFonts w:asciiTheme="majorBidi" w:hAnsiTheme="majorBidi" w:cstheme="majorBidi"/>
        </w:rPr>
        <w:t>-value=0.416</w:t>
      </w:r>
      <w:r w:rsidR="00A83B89" w:rsidRPr="008C6BE4">
        <w:rPr>
          <w:rFonts w:asciiTheme="majorBidi" w:hAnsiTheme="majorBidi" w:cstheme="majorBidi"/>
        </w:rPr>
        <w:t>)</w:t>
      </w:r>
      <w:r w:rsidR="00431090" w:rsidRPr="008C6BE4">
        <w:rPr>
          <w:rFonts w:asciiTheme="majorBidi" w:hAnsiTheme="majorBidi" w:cstheme="majorBidi"/>
        </w:rPr>
        <w:t>, (t=3.446, p-value=0.001), and (t=4.016, p-value=0.000)</w:t>
      </w:r>
      <w:r w:rsidR="00A83B89" w:rsidRPr="008C6BE4">
        <w:rPr>
          <w:rFonts w:asciiTheme="majorBidi" w:hAnsiTheme="majorBidi" w:cstheme="majorBidi"/>
        </w:rPr>
        <w:t>] and [(t=-</w:t>
      </w:r>
      <w:r w:rsidR="00431090" w:rsidRPr="008C6BE4">
        <w:rPr>
          <w:rFonts w:asciiTheme="majorBidi" w:hAnsiTheme="majorBidi" w:cstheme="majorBidi"/>
        </w:rPr>
        <w:t>-11.258</w:t>
      </w:r>
      <w:r w:rsidR="00A83B89" w:rsidRPr="008C6BE4">
        <w:rPr>
          <w:rFonts w:asciiTheme="majorBidi" w:hAnsiTheme="majorBidi" w:cstheme="majorBidi"/>
        </w:rPr>
        <w:t>, p</w:t>
      </w:r>
      <w:r w:rsidR="00431090" w:rsidRPr="008C6BE4">
        <w:rPr>
          <w:rFonts w:asciiTheme="majorBidi" w:hAnsiTheme="majorBidi" w:cstheme="majorBidi"/>
        </w:rPr>
        <w:t>-value=0.000</w:t>
      </w:r>
      <w:r w:rsidR="00A83B89" w:rsidRPr="008C6BE4">
        <w:rPr>
          <w:rFonts w:asciiTheme="majorBidi" w:hAnsiTheme="majorBidi" w:cstheme="majorBidi"/>
        </w:rPr>
        <w:t>)</w:t>
      </w:r>
      <w:r w:rsidR="00431090" w:rsidRPr="008C6BE4">
        <w:rPr>
          <w:rFonts w:asciiTheme="majorBidi" w:hAnsiTheme="majorBidi" w:cstheme="majorBidi"/>
        </w:rPr>
        <w:t>, (t=-0.900, p-value=0.369), (t=-5.683, p-value=0.000), and (t=-7.570, p-value=0.000)</w:t>
      </w:r>
      <w:r w:rsidR="00A83B89" w:rsidRPr="008C6BE4">
        <w:rPr>
          <w:rFonts w:asciiTheme="majorBidi" w:hAnsiTheme="majorBidi" w:cstheme="majorBidi"/>
        </w:rPr>
        <w:t>], respectively.</w:t>
      </w:r>
      <w:r w:rsidR="00F75BBB" w:rsidRPr="008C6BE4">
        <w:rPr>
          <w:rFonts w:asciiTheme="majorBidi" w:hAnsiTheme="majorBidi" w:cstheme="majorBidi"/>
        </w:rPr>
        <w:t xml:space="preserve"> </w:t>
      </w:r>
      <w:r w:rsidR="00AB418A" w:rsidRPr="008C6BE4">
        <w:rPr>
          <w:rFonts w:asciiTheme="majorBidi" w:hAnsiTheme="majorBidi" w:cstheme="majorBidi"/>
        </w:rPr>
        <w:t>Accordingly, we demonstrated from the conducted multiple linear regression analysis that as we step</w:t>
      </w:r>
      <w:r w:rsidR="003D327F" w:rsidRPr="008C6BE4">
        <w:rPr>
          <w:rFonts w:asciiTheme="majorBidi" w:hAnsiTheme="majorBidi" w:cstheme="majorBidi"/>
        </w:rPr>
        <w:t>ped</w:t>
      </w:r>
      <w:r w:rsidR="00AB418A" w:rsidRPr="008C6BE4">
        <w:rPr>
          <w:rFonts w:asciiTheme="majorBidi" w:hAnsiTheme="majorBidi" w:cstheme="majorBidi"/>
        </w:rPr>
        <w:t xml:space="preserve"> up in the tested APDs classes [Class I to Class II to Class III to Class IV, considering the APD Class</w:t>
      </w:r>
      <w:r w:rsidR="00431090" w:rsidRPr="008C6BE4">
        <w:rPr>
          <w:rFonts w:asciiTheme="majorBidi" w:hAnsiTheme="majorBidi" w:cstheme="majorBidi"/>
        </w:rPr>
        <w:t xml:space="preserve"> I</w:t>
      </w:r>
      <w:r w:rsidR="00AB418A" w:rsidRPr="008C6BE4">
        <w:rPr>
          <w:rFonts w:asciiTheme="majorBidi" w:hAnsiTheme="majorBidi" w:cstheme="majorBidi"/>
        </w:rPr>
        <w:t xml:space="preserve"> as the reference for the other APDs Classes II-IV], we </w:t>
      </w:r>
      <w:r w:rsidR="003D327F" w:rsidRPr="008C6BE4">
        <w:rPr>
          <w:rFonts w:asciiTheme="majorBidi" w:hAnsiTheme="majorBidi" w:cstheme="majorBidi"/>
        </w:rPr>
        <w:t>significantly</w:t>
      </w:r>
      <w:r w:rsidR="00AB418A" w:rsidRPr="008C6BE4">
        <w:rPr>
          <w:rFonts w:asciiTheme="majorBidi" w:hAnsiTheme="majorBidi" w:cstheme="majorBidi"/>
        </w:rPr>
        <w:t xml:space="preserve"> reveal</w:t>
      </w:r>
      <w:r w:rsidR="003D327F" w:rsidRPr="008C6BE4">
        <w:rPr>
          <w:rFonts w:asciiTheme="majorBidi" w:hAnsiTheme="majorBidi" w:cstheme="majorBidi"/>
        </w:rPr>
        <w:t>ed</w:t>
      </w:r>
      <w:r w:rsidR="00AB418A" w:rsidRPr="008C6BE4">
        <w:rPr>
          <w:rFonts w:asciiTheme="majorBidi" w:hAnsiTheme="majorBidi" w:cstheme="majorBidi"/>
        </w:rPr>
        <w:t xml:space="preserve"> </w:t>
      </w:r>
      <w:r w:rsidR="003D327F" w:rsidRPr="008C6BE4">
        <w:rPr>
          <w:rFonts w:asciiTheme="majorBidi" w:hAnsiTheme="majorBidi" w:cstheme="majorBidi"/>
        </w:rPr>
        <w:t>incrementing</w:t>
      </w:r>
      <w:r w:rsidR="00AB418A" w:rsidRPr="008C6BE4">
        <w:rPr>
          <w:rFonts w:asciiTheme="majorBidi" w:hAnsiTheme="majorBidi" w:cstheme="majorBidi"/>
        </w:rPr>
        <w:t xml:space="preserve"> in the %Δ Positive Domain and </w:t>
      </w:r>
      <w:r w:rsidR="003D327F" w:rsidRPr="008C6BE4">
        <w:rPr>
          <w:rFonts w:asciiTheme="majorBidi" w:hAnsiTheme="majorBidi" w:cstheme="majorBidi"/>
        </w:rPr>
        <w:t xml:space="preserve">decrementing in </w:t>
      </w:r>
      <w:r w:rsidR="00AB418A" w:rsidRPr="008C6BE4">
        <w:rPr>
          <w:rFonts w:asciiTheme="majorBidi" w:hAnsiTheme="majorBidi" w:cstheme="majorBidi"/>
        </w:rPr>
        <w:t>the % Δ Psychopathology Domain</w:t>
      </w:r>
      <w:r w:rsidR="003D327F" w:rsidRPr="008C6BE4">
        <w:rPr>
          <w:rFonts w:asciiTheme="majorBidi" w:hAnsiTheme="majorBidi" w:cstheme="majorBidi"/>
        </w:rPr>
        <w:t xml:space="preserve"> </w:t>
      </w:r>
      <w:r w:rsidR="00F75BBB" w:rsidRPr="008C6BE4">
        <w:rPr>
          <w:rFonts w:asciiTheme="majorBidi" w:hAnsiTheme="majorBidi" w:cstheme="majorBidi"/>
        </w:rPr>
        <w:t>All statistical analyses results were fully represented in Tables 1-2.</w:t>
      </w:r>
    </w:p>
    <w:p w14:paraId="526960A7" w14:textId="77777777" w:rsidR="008C6BE4" w:rsidRDefault="008C6BE4" w:rsidP="00CF2E70">
      <w:pPr>
        <w:autoSpaceDE w:val="0"/>
        <w:autoSpaceDN w:val="0"/>
        <w:adjustRightInd w:val="0"/>
        <w:jc w:val="both"/>
        <w:rPr>
          <w:rFonts w:asciiTheme="majorBidi" w:hAnsiTheme="majorBidi" w:cstheme="majorBidi"/>
          <w:b/>
          <w:bCs/>
        </w:rPr>
        <w:sectPr w:rsidR="008C6BE4" w:rsidSect="00825FAB">
          <w:type w:val="continuous"/>
          <w:pgSz w:w="12240" w:h="15840" w:code="1"/>
          <w:pgMar w:top="1170" w:right="1440" w:bottom="1440" w:left="1440" w:header="720" w:footer="720" w:gutter="0"/>
          <w:cols w:num="2" w:space="720"/>
          <w:docGrid w:linePitch="360"/>
        </w:sectPr>
      </w:pPr>
      <w:bookmarkStart w:id="0" w:name="_Hlk161290160"/>
    </w:p>
    <w:tbl>
      <w:tblPr>
        <w:tblStyle w:val="ListTable3-Accent3"/>
        <w:tblW w:w="10547" w:type="dxa"/>
        <w:tblInd w:w="-54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3121"/>
        <w:gridCol w:w="1687"/>
        <w:gridCol w:w="1014"/>
        <w:gridCol w:w="1095"/>
        <w:gridCol w:w="843"/>
        <w:gridCol w:w="252"/>
        <w:gridCol w:w="1096"/>
        <w:gridCol w:w="1439"/>
      </w:tblGrid>
      <w:tr w:rsidR="008C6BE4" w:rsidRPr="008C6BE4" w14:paraId="0C05C99C" w14:textId="77777777" w:rsidTr="00A6373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10547" w:type="dxa"/>
            <w:gridSpan w:val="8"/>
            <w:tcBorders>
              <w:top w:val="none" w:sz="0" w:space="0" w:color="auto"/>
              <w:left w:val="none" w:sz="0" w:space="0" w:color="auto"/>
              <w:bottom w:val="nil"/>
              <w:right w:val="none" w:sz="0" w:space="0" w:color="auto"/>
            </w:tcBorders>
            <w:shd w:val="clear" w:color="auto" w:fill="auto"/>
            <w:vAlign w:val="center"/>
          </w:tcPr>
          <w:p w14:paraId="017913B4" w14:textId="77777777" w:rsidR="008C6BE4" w:rsidRPr="00A6373F" w:rsidRDefault="008C6BE4" w:rsidP="00CF2E70">
            <w:pPr>
              <w:autoSpaceDE w:val="0"/>
              <w:autoSpaceDN w:val="0"/>
              <w:adjustRightInd w:val="0"/>
              <w:jc w:val="both"/>
              <w:rPr>
                <w:rFonts w:asciiTheme="majorBidi" w:hAnsiTheme="majorBidi" w:cstheme="majorBidi"/>
                <w:b/>
                <w:bCs/>
                <w:u w:val="single"/>
              </w:rPr>
            </w:pPr>
            <w:r w:rsidRPr="00A6373F">
              <w:rPr>
                <w:rFonts w:asciiTheme="majorBidi" w:hAnsiTheme="majorBidi" w:cstheme="majorBidi"/>
                <w:b/>
                <w:bCs/>
                <w:u w:val="single"/>
              </w:rPr>
              <w:t>Table I. A multiple linear regression analyses results for each of the tested psycho domains</w:t>
            </w:r>
          </w:p>
          <w:p w14:paraId="7F341490" w14:textId="2F9EFDBD" w:rsidR="00A05847" w:rsidRPr="008C6BE4" w:rsidRDefault="00A05847" w:rsidP="00CF2E70">
            <w:pPr>
              <w:autoSpaceDE w:val="0"/>
              <w:autoSpaceDN w:val="0"/>
              <w:adjustRightInd w:val="0"/>
              <w:jc w:val="both"/>
              <w:rPr>
                <w:rFonts w:asciiTheme="majorBidi" w:hAnsiTheme="majorBidi" w:cstheme="majorBidi"/>
                <w:b/>
                <w:bCs/>
              </w:rPr>
            </w:pPr>
          </w:p>
        </w:tc>
      </w:tr>
      <w:tr w:rsidR="008C6BE4" w:rsidRPr="008C6BE4" w14:paraId="0C786139" w14:textId="77777777" w:rsidTr="00A6373F">
        <w:trPr>
          <w:trHeight w:val="574"/>
        </w:trPr>
        <w:tc>
          <w:tcPr>
            <w:cnfStyle w:val="000010000000" w:firstRow="0" w:lastRow="0" w:firstColumn="0" w:lastColumn="0" w:oddVBand="1" w:evenVBand="0" w:oddHBand="0" w:evenHBand="0" w:firstRowFirstColumn="0" w:firstRowLastColumn="0" w:lastRowFirstColumn="0" w:lastRowLastColumn="0"/>
            <w:tcW w:w="3121" w:type="dxa"/>
            <w:tcBorders>
              <w:top w:val="nil"/>
              <w:left w:val="none" w:sz="0" w:space="0" w:color="auto"/>
              <w:right w:val="none" w:sz="0" w:space="0" w:color="auto"/>
            </w:tcBorders>
            <w:shd w:val="clear" w:color="auto" w:fill="auto"/>
            <w:vAlign w:val="center"/>
          </w:tcPr>
          <w:p w14:paraId="55140B5C" w14:textId="77777777" w:rsidR="008C6BE4" w:rsidRPr="008C6BE4" w:rsidRDefault="008C6BE4" w:rsidP="00CF2E70">
            <w:pPr>
              <w:autoSpaceDE w:val="0"/>
              <w:autoSpaceDN w:val="0"/>
              <w:adjustRightInd w:val="0"/>
              <w:jc w:val="center"/>
              <w:rPr>
                <w:rFonts w:asciiTheme="majorBidi" w:hAnsiTheme="majorBidi" w:cstheme="majorBidi"/>
                <w:b/>
                <w:bCs/>
              </w:rPr>
            </w:pPr>
            <w:r w:rsidRPr="008C6BE4">
              <w:rPr>
                <w:rFonts w:asciiTheme="majorBidi" w:hAnsiTheme="majorBidi" w:cstheme="majorBidi"/>
                <w:b/>
                <w:bCs/>
              </w:rPr>
              <w:t>Investigated Domains</w:t>
            </w:r>
          </w:p>
        </w:tc>
        <w:tc>
          <w:tcPr>
            <w:tcW w:w="1687" w:type="dxa"/>
            <w:tcBorders>
              <w:top w:val="nil"/>
            </w:tcBorders>
            <w:shd w:val="clear" w:color="auto" w:fill="auto"/>
            <w:vAlign w:val="center"/>
          </w:tcPr>
          <w:p w14:paraId="7D04B045"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C6BE4">
              <w:rPr>
                <w:rFonts w:asciiTheme="majorBidi" w:hAnsiTheme="majorBidi" w:cstheme="majorBidi"/>
                <w:b/>
                <w:bCs/>
              </w:rPr>
              <w:t>B±SEM</w:t>
            </w:r>
          </w:p>
        </w:tc>
        <w:tc>
          <w:tcPr>
            <w:cnfStyle w:val="000010000000" w:firstRow="0" w:lastRow="0" w:firstColumn="0" w:lastColumn="0" w:oddVBand="1" w:evenVBand="0" w:oddHBand="0" w:evenHBand="0" w:firstRowFirstColumn="0" w:firstRowLastColumn="0" w:lastRowFirstColumn="0" w:lastRowLastColumn="0"/>
            <w:tcW w:w="1014" w:type="dxa"/>
            <w:tcBorders>
              <w:top w:val="nil"/>
              <w:left w:val="none" w:sz="0" w:space="0" w:color="auto"/>
              <w:right w:val="none" w:sz="0" w:space="0" w:color="auto"/>
            </w:tcBorders>
            <w:shd w:val="clear" w:color="auto" w:fill="auto"/>
            <w:vAlign w:val="center"/>
          </w:tcPr>
          <w:p w14:paraId="37EB3DD4" w14:textId="77777777" w:rsidR="008C6BE4" w:rsidRPr="008C6BE4" w:rsidRDefault="008C6BE4" w:rsidP="00CF2E70">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Beta</w:t>
            </w:r>
          </w:p>
        </w:tc>
        <w:tc>
          <w:tcPr>
            <w:tcW w:w="1095" w:type="dxa"/>
            <w:tcBorders>
              <w:top w:val="nil"/>
            </w:tcBorders>
            <w:shd w:val="clear" w:color="auto" w:fill="auto"/>
            <w:vAlign w:val="center"/>
          </w:tcPr>
          <w:p w14:paraId="56AFC41B"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C6BE4">
              <w:rPr>
                <w:rFonts w:asciiTheme="majorBidi" w:hAnsiTheme="majorBidi" w:cstheme="majorBidi"/>
                <w:b/>
                <w:bCs/>
              </w:rPr>
              <w:t>t</w:t>
            </w:r>
          </w:p>
        </w:tc>
        <w:tc>
          <w:tcPr>
            <w:cnfStyle w:val="000010000000" w:firstRow="0" w:lastRow="0" w:firstColumn="0" w:lastColumn="0" w:oddVBand="1" w:evenVBand="0" w:oddHBand="0" w:evenHBand="0" w:firstRowFirstColumn="0" w:firstRowLastColumn="0" w:lastRowFirstColumn="0" w:lastRowLastColumn="0"/>
            <w:tcW w:w="843" w:type="dxa"/>
            <w:tcBorders>
              <w:top w:val="nil"/>
              <w:left w:val="none" w:sz="0" w:space="0" w:color="auto"/>
              <w:right w:val="none" w:sz="0" w:space="0" w:color="auto"/>
            </w:tcBorders>
            <w:shd w:val="clear" w:color="auto" w:fill="auto"/>
            <w:vAlign w:val="center"/>
          </w:tcPr>
          <w:p w14:paraId="300334B3" w14:textId="77777777" w:rsidR="008C6BE4" w:rsidRPr="008C6BE4" w:rsidRDefault="008C6BE4" w:rsidP="00CF2E70">
            <w:pPr>
              <w:autoSpaceDE w:val="0"/>
              <w:autoSpaceDN w:val="0"/>
              <w:adjustRightInd w:val="0"/>
              <w:jc w:val="center"/>
              <w:rPr>
                <w:rFonts w:asciiTheme="majorBidi" w:hAnsiTheme="majorBidi" w:cstheme="majorBidi"/>
                <w:b/>
                <w:bCs/>
              </w:rPr>
            </w:pPr>
            <w:r w:rsidRPr="008C6BE4">
              <w:rPr>
                <w:rFonts w:asciiTheme="majorBidi" w:hAnsiTheme="majorBidi" w:cstheme="majorBidi"/>
                <w:b/>
                <w:bCs/>
              </w:rPr>
              <w:t>p-value</w:t>
            </w:r>
          </w:p>
        </w:tc>
        <w:tc>
          <w:tcPr>
            <w:tcW w:w="1348" w:type="dxa"/>
            <w:gridSpan w:val="2"/>
            <w:tcBorders>
              <w:top w:val="nil"/>
            </w:tcBorders>
            <w:shd w:val="clear" w:color="auto" w:fill="auto"/>
            <w:vAlign w:val="center"/>
          </w:tcPr>
          <w:p w14:paraId="0609784B"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C6BE4">
              <w:rPr>
                <w:rFonts w:asciiTheme="majorBidi" w:hAnsiTheme="majorBidi" w:cstheme="majorBidi"/>
                <w:b/>
                <w:bCs/>
              </w:rPr>
              <w:t>R</w:t>
            </w:r>
          </w:p>
          <w:p w14:paraId="345890BD"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C6BE4">
              <w:rPr>
                <w:rFonts w:asciiTheme="majorBidi" w:hAnsiTheme="majorBidi" w:cstheme="majorBidi"/>
                <w:b/>
                <w:bCs/>
              </w:rPr>
              <w:t>R</w:t>
            </w:r>
            <w:r w:rsidRPr="008C6BE4">
              <w:rPr>
                <w:rFonts w:asciiTheme="majorBidi" w:hAnsiTheme="majorBidi" w:cstheme="majorBidi"/>
                <w:b/>
                <w:bCs/>
                <w:vertAlign w:val="superscript"/>
              </w:rPr>
              <w:t>2</w:t>
            </w:r>
          </w:p>
          <w:p w14:paraId="44B5850B"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C6BE4">
              <w:rPr>
                <w:rFonts w:asciiTheme="majorBidi" w:hAnsiTheme="majorBidi" w:cstheme="majorBidi"/>
                <w:b/>
                <w:bCs/>
              </w:rPr>
              <w:t>Adjusted R</w:t>
            </w:r>
            <w:r w:rsidRPr="008C6BE4">
              <w:rPr>
                <w:rFonts w:asciiTheme="majorBidi" w:hAnsiTheme="majorBidi" w:cstheme="majorBidi"/>
                <w:b/>
                <w:bCs/>
                <w:vertAlign w:val="superscript"/>
              </w:rPr>
              <w:t>2</w:t>
            </w:r>
          </w:p>
        </w:tc>
        <w:tc>
          <w:tcPr>
            <w:cnfStyle w:val="000010000000" w:firstRow="0" w:lastRow="0" w:firstColumn="0" w:lastColumn="0" w:oddVBand="1" w:evenVBand="0" w:oddHBand="0" w:evenHBand="0" w:firstRowFirstColumn="0" w:firstRowLastColumn="0" w:lastRowFirstColumn="0" w:lastRowLastColumn="0"/>
            <w:tcW w:w="1439" w:type="dxa"/>
            <w:tcBorders>
              <w:top w:val="nil"/>
              <w:left w:val="none" w:sz="0" w:space="0" w:color="auto"/>
              <w:right w:val="none" w:sz="0" w:space="0" w:color="auto"/>
            </w:tcBorders>
            <w:shd w:val="clear" w:color="auto" w:fill="auto"/>
            <w:vAlign w:val="center"/>
          </w:tcPr>
          <w:p w14:paraId="02BDBD6F" w14:textId="77777777" w:rsidR="008C6BE4" w:rsidRPr="008C6BE4" w:rsidRDefault="008C6BE4" w:rsidP="00CF2E70">
            <w:pPr>
              <w:autoSpaceDE w:val="0"/>
              <w:autoSpaceDN w:val="0"/>
              <w:adjustRightInd w:val="0"/>
              <w:jc w:val="center"/>
              <w:rPr>
                <w:rFonts w:asciiTheme="majorBidi" w:hAnsiTheme="majorBidi" w:cstheme="majorBidi"/>
                <w:b/>
                <w:bCs/>
              </w:rPr>
            </w:pPr>
            <w:r w:rsidRPr="008C6BE4">
              <w:rPr>
                <w:rFonts w:asciiTheme="majorBidi" w:hAnsiTheme="majorBidi" w:cstheme="majorBidi"/>
                <w:b/>
                <w:bCs/>
              </w:rPr>
              <w:t>F (df)</w:t>
            </w:r>
          </w:p>
          <w:p w14:paraId="4418F4E9" w14:textId="77777777" w:rsidR="008C6BE4" w:rsidRPr="008C6BE4" w:rsidRDefault="008C6BE4" w:rsidP="00CF2E70">
            <w:pPr>
              <w:autoSpaceDE w:val="0"/>
              <w:autoSpaceDN w:val="0"/>
              <w:adjustRightInd w:val="0"/>
              <w:jc w:val="center"/>
              <w:rPr>
                <w:rFonts w:asciiTheme="majorBidi" w:hAnsiTheme="majorBidi" w:cstheme="majorBidi"/>
                <w:b/>
                <w:bCs/>
              </w:rPr>
            </w:pPr>
            <w:r w:rsidRPr="008C6BE4">
              <w:rPr>
                <w:rFonts w:asciiTheme="majorBidi" w:hAnsiTheme="majorBidi" w:cstheme="majorBidi"/>
                <w:b/>
                <w:bCs/>
              </w:rPr>
              <w:t>Sig</w:t>
            </w:r>
          </w:p>
        </w:tc>
      </w:tr>
      <w:tr w:rsidR="008C6BE4" w:rsidRPr="008C6BE4" w14:paraId="12E2BECB" w14:textId="77777777" w:rsidTr="00A6373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01367245" w14:textId="77777777" w:rsidR="008C6BE4" w:rsidRPr="008C6BE4" w:rsidRDefault="008C6BE4" w:rsidP="00CF2E70">
            <w:pPr>
              <w:autoSpaceDE w:val="0"/>
              <w:autoSpaceDN w:val="0"/>
              <w:adjustRightInd w:val="0"/>
              <w:jc w:val="both"/>
              <w:rPr>
                <w:rFonts w:asciiTheme="majorBidi" w:hAnsiTheme="majorBidi" w:cstheme="majorBidi"/>
                <w:b/>
                <w:bCs/>
              </w:rPr>
            </w:pPr>
            <w:r w:rsidRPr="008C6BE4">
              <w:rPr>
                <w:rFonts w:asciiTheme="majorBidi" w:hAnsiTheme="majorBidi" w:cstheme="majorBidi"/>
                <w:b/>
                <w:bCs/>
              </w:rPr>
              <w:t>% Δ Positive Domain</w:t>
            </w:r>
          </w:p>
        </w:tc>
        <w:tc>
          <w:tcPr>
            <w:tcW w:w="7426" w:type="dxa"/>
            <w:gridSpan w:val="7"/>
            <w:tcBorders>
              <w:top w:val="none" w:sz="0" w:space="0" w:color="auto"/>
              <w:bottom w:val="none" w:sz="0" w:space="0" w:color="auto"/>
            </w:tcBorders>
            <w:shd w:val="clear" w:color="auto" w:fill="auto"/>
            <w:vAlign w:val="center"/>
          </w:tcPr>
          <w:p w14:paraId="20CA7B23" w14:textId="77777777" w:rsidR="008C6BE4" w:rsidRPr="008C6BE4" w:rsidRDefault="008C6BE4" w:rsidP="00CF2E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8C6BE4" w:rsidRPr="008C6BE4" w14:paraId="302EEFDD" w14:textId="77777777" w:rsidTr="00A6373F">
        <w:trPr>
          <w:trHeight w:val="192"/>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1FBE1EE5"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(Constant)</w:t>
            </w:r>
          </w:p>
        </w:tc>
        <w:tc>
          <w:tcPr>
            <w:tcW w:w="1687" w:type="dxa"/>
            <w:shd w:val="clear" w:color="auto" w:fill="auto"/>
          </w:tcPr>
          <w:p w14:paraId="5BB3E84E"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-76.812±10.802</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vAlign w:val="center"/>
          </w:tcPr>
          <w:p w14:paraId="1FE3E7DE" w14:textId="77777777" w:rsidR="008C6BE4" w:rsidRPr="008C6BE4" w:rsidRDefault="008C6BE4" w:rsidP="00CF2E70">
            <w:pPr>
              <w:autoSpaceDE w:val="0"/>
              <w:autoSpaceDN w:val="0"/>
              <w:adjustRightInd w:val="0"/>
              <w:jc w:val="center"/>
              <w:rPr>
                <w:rFonts w:asciiTheme="majorBidi" w:hAnsiTheme="majorBidi" w:cstheme="majorBidi"/>
              </w:rPr>
            </w:pPr>
          </w:p>
        </w:tc>
        <w:tc>
          <w:tcPr>
            <w:tcW w:w="1095" w:type="dxa"/>
            <w:shd w:val="clear" w:color="auto" w:fill="auto"/>
          </w:tcPr>
          <w:p w14:paraId="0543049F"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-7.111</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7714FA7C"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0.000</w:t>
            </w:r>
          </w:p>
        </w:tc>
        <w:tc>
          <w:tcPr>
            <w:tcW w:w="1096" w:type="dxa"/>
            <w:vMerge w:val="restart"/>
            <w:shd w:val="clear" w:color="auto" w:fill="auto"/>
            <w:vAlign w:val="center"/>
          </w:tcPr>
          <w:p w14:paraId="7ADA661F"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C6BE4">
              <w:rPr>
                <w:rFonts w:asciiTheme="majorBidi" w:hAnsiTheme="majorBidi" w:cstheme="majorBidi"/>
              </w:rPr>
              <w:t>0.458</w:t>
            </w:r>
            <w:r w:rsidRPr="008C6BE4">
              <w:rPr>
                <w:rFonts w:asciiTheme="majorBidi" w:hAnsiTheme="majorBidi" w:cstheme="majorBidi"/>
              </w:rPr>
              <w:tab/>
            </w:r>
          </w:p>
          <w:p w14:paraId="278CB5DD"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C6BE4">
              <w:rPr>
                <w:rFonts w:asciiTheme="majorBidi" w:hAnsiTheme="majorBidi" w:cstheme="majorBidi"/>
              </w:rPr>
              <w:t>0.210</w:t>
            </w:r>
          </w:p>
          <w:p w14:paraId="5C29A9D6" w14:textId="77777777" w:rsidR="008C6BE4" w:rsidRPr="008C6BE4" w:rsidRDefault="008C6BE4" w:rsidP="00CF2E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0.199</w:t>
            </w:r>
          </w:p>
        </w:tc>
        <w:tc>
          <w:tcPr>
            <w:cnfStyle w:val="000010000000" w:firstRow="0" w:lastRow="0" w:firstColumn="0" w:lastColumn="0" w:oddVBand="1" w:evenVBand="0" w:oddHBand="0" w:evenHBand="0" w:firstRowFirstColumn="0" w:firstRowLastColumn="0" w:lastRowFirstColumn="0" w:lastRowLastColumn="0"/>
            <w:tcW w:w="1439" w:type="dxa"/>
            <w:vMerge w:val="restart"/>
            <w:tcBorders>
              <w:left w:val="none" w:sz="0" w:space="0" w:color="auto"/>
              <w:right w:val="none" w:sz="0" w:space="0" w:color="auto"/>
            </w:tcBorders>
            <w:shd w:val="clear" w:color="auto" w:fill="auto"/>
            <w:vAlign w:val="center"/>
          </w:tcPr>
          <w:p w14:paraId="45656CAE"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F (4, 298) =19.763</w:t>
            </w:r>
          </w:p>
          <w:p w14:paraId="5F07254D"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0.000</w:t>
            </w:r>
          </w:p>
        </w:tc>
      </w:tr>
      <w:tr w:rsidR="008C6BE4" w:rsidRPr="008C6BE4" w14:paraId="465E2841" w14:textId="77777777" w:rsidTr="00A6373F">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13B4B28D"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 BARS</w:t>
            </w:r>
          </w:p>
        </w:tc>
        <w:tc>
          <w:tcPr>
            <w:tcW w:w="1687" w:type="dxa"/>
            <w:tcBorders>
              <w:top w:val="none" w:sz="0" w:space="0" w:color="auto"/>
              <w:bottom w:val="none" w:sz="0" w:space="0" w:color="auto"/>
            </w:tcBorders>
            <w:shd w:val="clear" w:color="auto" w:fill="auto"/>
          </w:tcPr>
          <w:p w14:paraId="163286B8"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0.424±0.164</w:t>
            </w:r>
          </w:p>
        </w:tc>
        <w:tc>
          <w:tcPr>
            <w:cnfStyle w:val="000010000000" w:firstRow="0" w:lastRow="0" w:firstColumn="0" w:lastColumn="0" w:oddVBand="1" w:evenVBand="0" w:oddHBand="0" w:evenHBand="0" w:firstRowFirstColumn="0" w:firstRowLastColumn="0" w:lastRowFirstColumn="0" w:lastRowLastColumn="0"/>
            <w:tcW w:w="1014" w:type="dxa"/>
            <w:tcBorders>
              <w:top w:val="none" w:sz="0" w:space="0" w:color="auto"/>
              <w:left w:val="none" w:sz="0" w:space="0" w:color="auto"/>
              <w:bottom w:val="none" w:sz="0" w:space="0" w:color="auto"/>
              <w:right w:val="none" w:sz="0" w:space="0" w:color="auto"/>
            </w:tcBorders>
            <w:shd w:val="clear" w:color="auto" w:fill="auto"/>
          </w:tcPr>
          <w:p w14:paraId="2B66FCDD"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0.185</w:t>
            </w:r>
          </w:p>
        </w:tc>
        <w:tc>
          <w:tcPr>
            <w:tcW w:w="1095" w:type="dxa"/>
            <w:tcBorders>
              <w:top w:val="none" w:sz="0" w:space="0" w:color="auto"/>
              <w:bottom w:val="none" w:sz="0" w:space="0" w:color="auto"/>
            </w:tcBorders>
            <w:shd w:val="clear" w:color="auto" w:fill="auto"/>
          </w:tcPr>
          <w:p w14:paraId="28FF70B8"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2.588</w:t>
            </w:r>
          </w:p>
        </w:tc>
        <w:tc>
          <w:tcPr>
            <w:cnfStyle w:val="000010000000" w:firstRow="0" w:lastRow="0" w:firstColumn="0" w:lastColumn="0" w:oddVBand="1" w:evenVBand="0" w:oddHBand="0" w:evenHBand="0" w:firstRowFirstColumn="0" w:firstRowLastColumn="0" w:lastRowFirstColumn="0" w:lastRowLastColumn="0"/>
            <w:tcW w:w="1095" w:type="dxa"/>
            <w:gridSpan w:val="2"/>
            <w:tcBorders>
              <w:top w:val="none" w:sz="0" w:space="0" w:color="auto"/>
              <w:left w:val="none" w:sz="0" w:space="0" w:color="auto"/>
              <w:bottom w:val="none" w:sz="0" w:space="0" w:color="auto"/>
              <w:right w:val="none" w:sz="0" w:space="0" w:color="auto"/>
            </w:tcBorders>
            <w:shd w:val="clear" w:color="auto" w:fill="auto"/>
          </w:tcPr>
          <w:p w14:paraId="6A9412CA"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0.010</w:t>
            </w:r>
          </w:p>
        </w:tc>
        <w:tc>
          <w:tcPr>
            <w:tcW w:w="1096" w:type="dxa"/>
            <w:vMerge/>
            <w:tcBorders>
              <w:top w:val="none" w:sz="0" w:space="0" w:color="auto"/>
              <w:bottom w:val="none" w:sz="0" w:space="0" w:color="auto"/>
            </w:tcBorders>
            <w:shd w:val="clear" w:color="auto" w:fill="auto"/>
            <w:vAlign w:val="center"/>
          </w:tcPr>
          <w:p w14:paraId="4DA1C851"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top w:val="none" w:sz="0" w:space="0" w:color="auto"/>
              <w:left w:val="none" w:sz="0" w:space="0" w:color="auto"/>
              <w:bottom w:val="none" w:sz="0" w:space="0" w:color="auto"/>
              <w:right w:val="none" w:sz="0" w:space="0" w:color="auto"/>
            </w:tcBorders>
            <w:shd w:val="clear" w:color="auto" w:fill="auto"/>
            <w:vAlign w:val="center"/>
          </w:tcPr>
          <w:p w14:paraId="528EABB5"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C6BE4" w:rsidRPr="008C6BE4" w14:paraId="5AEE81A7" w14:textId="77777777" w:rsidTr="00A6373F">
        <w:trPr>
          <w:trHeight w:val="245"/>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253B15DD"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II</w:t>
            </w:r>
          </w:p>
        </w:tc>
        <w:tc>
          <w:tcPr>
            <w:tcW w:w="1687" w:type="dxa"/>
            <w:shd w:val="clear" w:color="auto" w:fill="auto"/>
          </w:tcPr>
          <w:p w14:paraId="66C2875D"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2.448±3.003</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tcPr>
          <w:p w14:paraId="4FCFF0F2"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0.053</w:t>
            </w:r>
          </w:p>
        </w:tc>
        <w:tc>
          <w:tcPr>
            <w:tcW w:w="1095" w:type="dxa"/>
            <w:shd w:val="clear" w:color="auto" w:fill="auto"/>
          </w:tcPr>
          <w:p w14:paraId="775B5EE9"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0.815</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0754F92C"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0.416</w:t>
            </w:r>
          </w:p>
        </w:tc>
        <w:tc>
          <w:tcPr>
            <w:tcW w:w="1096" w:type="dxa"/>
            <w:vMerge/>
            <w:shd w:val="clear" w:color="auto" w:fill="auto"/>
            <w:vAlign w:val="center"/>
          </w:tcPr>
          <w:p w14:paraId="61E7CF72"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left w:val="none" w:sz="0" w:space="0" w:color="auto"/>
              <w:right w:val="none" w:sz="0" w:space="0" w:color="auto"/>
            </w:tcBorders>
            <w:shd w:val="clear" w:color="auto" w:fill="auto"/>
            <w:vAlign w:val="center"/>
          </w:tcPr>
          <w:p w14:paraId="150E26AD"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C6BE4" w:rsidRPr="008C6BE4" w14:paraId="408EC677" w14:textId="77777777" w:rsidTr="00A6373F">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0AF0D676"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III</w:t>
            </w:r>
          </w:p>
        </w:tc>
        <w:tc>
          <w:tcPr>
            <w:tcW w:w="1687" w:type="dxa"/>
            <w:tcBorders>
              <w:top w:val="none" w:sz="0" w:space="0" w:color="auto"/>
              <w:bottom w:val="none" w:sz="0" w:space="0" w:color="auto"/>
            </w:tcBorders>
            <w:shd w:val="clear" w:color="auto" w:fill="auto"/>
          </w:tcPr>
          <w:p w14:paraId="54602AD5"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13.959±4.051</w:t>
            </w:r>
          </w:p>
        </w:tc>
        <w:tc>
          <w:tcPr>
            <w:cnfStyle w:val="000010000000" w:firstRow="0" w:lastRow="0" w:firstColumn="0" w:lastColumn="0" w:oddVBand="1" w:evenVBand="0" w:oddHBand="0" w:evenHBand="0" w:firstRowFirstColumn="0" w:firstRowLastColumn="0" w:lastRowFirstColumn="0" w:lastRowLastColumn="0"/>
            <w:tcW w:w="1014" w:type="dxa"/>
            <w:tcBorders>
              <w:top w:val="none" w:sz="0" w:space="0" w:color="auto"/>
              <w:left w:val="none" w:sz="0" w:space="0" w:color="auto"/>
              <w:bottom w:val="none" w:sz="0" w:space="0" w:color="auto"/>
              <w:right w:val="none" w:sz="0" w:space="0" w:color="auto"/>
            </w:tcBorders>
            <w:shd w:val="clear" w:color="auto" w:fill="auto"/>
          </w:tcPr>
          <w:p w14:paraId="08580F8A"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0.246</w:t>
            </w:r>
          </w:p>
        </w:tc>
        <w:tc>
          <w:tcPr>
            <w:tcW w:w="1095" w:type="dxa"/>
            <w:tcBorders>
              <w:top w:val="none" w:sz="0" w:space="0" w:color="auto"/>
              <w:bottom w:val="none" w:sz="0" w:space="0" w:color="auto"/>
            </w:tcBorders>
            <w:shd w:val="clear" w:color="auto" w:fill="auto"/>
          </w:tcPr>
          <w:p w14:paraId="3558D2A9"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3.446</w:t>
            </w:r>
          </w:p>
        </w:tc>
        <w:tc>
          <w:tcPr>
            <w:cnfStyle w:val="000010000000" w:firstRow="0" w:lastRow="0" w:firstColumn="0" w:lastColumn="0" w:oddVBand="1" w:evenVBand="0" w:oddHBand="0" w:evenHBand="0" w:firstRowFirstColumn="0" w:firstRowLastColumn="0" w:lastRowFirstColumn="0" w:lastRowLastColumn="0"/>
            <w:tcW w:w="1095" w:type="dxa"/>
            <w:gridSpan w:val="2"/>
            <w:tcBorders>
              <w:top w:val="none" w:sz="0" w:space="0" w:color="auto"/>
              <w:left w:val="none" w:sz="0" w:space="0" w:color="auto"/>
              <w:bottom w:val="none" w:sz="0" w:space="0" w:color="auto"/>
              <w:right w:val="none" w:sz="0" w:space="0" w:color="auto"/>
            </w:tcBorders>
            <w:shd w:val="clear" w:color="auto" w:fill="auto"/>
          </w:tcPr>
          <w:p w14:paraId="2B9679B5"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0.001</w:t>
            </w:r>
          </w:p>
        </w:tc>
        <w:tc>
          <w:tcPr>
            <w:tcW w:w="1096" w:type="dxa"/>
            <w:vMerge/>
            <w:tcBorders>
              <w:top w:val="none" w:sz="0" w:space="0" w:color="auto"/>
              <w:bottom w:val="none" w:sz="0" w:space="0" w:color="auto"/>
            </w:tcBorders>
            <w:shd w:val="clear" w:color="auto" w:fill="auto"/>
            <w:vAlign w:val="center"/>
          </w:tcPr>
          <w:p w14:paraId="46C7E633"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top w:val="none" w:sz="0" w:space="0" w:color="auto"/>
              <w:left w:val="none" w:sz="0" w:space="0" w:color="auto"/>
              <w:bottom w:val="none" w:sz="0" w:space="0" w:color="auto"/>
              <w:right w:val="none" w:sz="0" w:space="0" w:color="auto"/>
            </w:tcBorders>
            <w:shd w:val="clear" w:color="auto" w:fill="auto"/>
            <w:vAlign w:val="center"/>
          </w:tcPr>
          <w:p w14:paraId="7DD71D5F"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C6BE4" w:rsidRPr="008C6BE4" w14:paraId="22F72B6B" w14:textId="77777777" w:rsidTr="00A6373F">
        <w:trPr>
          <w:trHeight w:val="245"/>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40608DEF"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IV</w:t>
            </w:r>
          </w:p>
        </w:tc>
        <w:tc>
          <w:tcPr>
            <w:tcW w:w="1687" w:type="dxa"/>
            <w:shd w:val="clear" w:color="auto" w:fill="auto"/>
          </w:tcPr>
          <w:p w14:paraId="5331E755"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14.776±3.680</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tcPr>
          <w:p w14:paraId="3C849C18"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0.317</w:t>
            </w:r>
          </w:p>
        </w:tc>
        <w:tc>
          <w:tcPr>
            <w:tcW w:w="1095" w:type="dxa"/>
            <w:shd w:val="clear" w:color="auto" w:fill="auto"/>
          </w:tcPr>
          <w:p w14:paraId="466513FE"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4.016</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2EBCD7DB"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0.000</w:t>
            </w:r>
          </w:p>
        </w:tc>
        <w:tc>
          <w:tcPr>
            <w:tcW w:w="1096" w:type="dxa"/>
            <w:vMerge/>
            <w:shd w:val="clear" w:color="auto" w:fill="auto"/>
            <w:vAlign w:val="center"/>
          </w:tcPr>
          <w:p w14:paraId="1DB1CB92"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left w:val="none" w:sz="0" w:space="0" w:color="auto"/>
              <w:right w:val="none" w:sz="0" w:space="0" w:color="auto"/>
            </w:tcBorders>
            <w:shd w:val="clear" w:color="auto" w:fill="auto"/>
            <w:vAlign w:val="center"/>
          </w:tcPr>
          <w:p w14:paraId="48DB5FCE"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25FAB" w:rsidRPr="008C6BE4" w14:paraId="2B8791FB" w14:textId="77777777" w:rsidTr="00A6373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7F496994" w14:textId="77777777" w:rsidR="008C6BE4" w:rsidRPr="008C6BE4" w:rsidRDefault="008C6BE4" w:rsidP="00CF2E70">
            <w:pPr>
              <w:autoSpaceDE w:val="0"/>
              <w:autoSpaceDN w:val="0"/>
              <w:adjustRightInd w:val="0"/>
              <w:ind w:left="60" w:right="60"/>
              <w:jc w:val="both"/>
              <w:rPr>
                <w:rFonts w:asciiTheme="majorBidi" w:hAnsiTheme="majorBidi" w:cstheme="majorBidi"/>
                <w:b/>
                <w:bCs/>
              </w:rPr>
            </w:pPr>
            <w:r w:rsidRPr="008C6BE4">
              <w:rPr>
                <w:rFonts w:asciiTheme="majorBidi" w:hAnsiTheme="majorBidi" w:cstheme="majorBidi"/>
                <w:b/>
                <w:bCs/>
              </w:rPr>
              <w:lastRenderedPageBreak/>
              <w:t>% Δ Negative Domain</w:t>
            </w:r>
          </w:p>
        </w:tc>
        <w:tc>
          <w:tcPr>
            <w:tcW w:w="7426" w:type="dxa"/>
            <w:gridSpan w:val="7"/>
            <w:tcBorders>
              <w:top w:val="none" w:sz="0" w:space="0" w:color="auto"/>
              <w:bottom w:val="none" w:sz="0" w:space="0" w:color="auto"/>
            </w:tcBorders>
            <w:shd w:val="clear" w:color="auto" w:fill="auto"/>
            <w:vAlign w:val="center"/>
          </w:tcPr>
          <w:p w14:paraId="3E645E6F"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8C6BE4" w:rsidRPr="008C6BE4" w14:paraId="4D50C85B" w14:textId="77777777" w:rsidTr="00A6373F">
        <w:trPr>
          <w:trHeight w:val="185"/>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0AF812DE"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(Constant)</w:t>
            </w:r>
          </w:p>
        </w:tc>
        <w:tc>
          <w:tcPr>
            <w:tcW w:w="1687" w:type="dxa"/>
            <w:shd w:val="clear" w:color="auto" w:fill="auto"/>
          </w:tcPr>
          <w:p w14:paraId="69F88977"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-14.929±9.092</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vAlign w:val="center"/>
          </w:tcPr>
          <w:p w14:paraId="7EBE8A9F"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c>
          <w:tcPr>
            <w:tcW w:w="1095" w:type="dxa"/>
            <w:shd w:val="clear" w:color="auto" w:fill="auto"/>
          </w:tcPr>
          <w:p w14:paraId="6ED8E148"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-1.642</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11477A2D"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0.102</w:t>
            </w:r>
          </w:p>
        </w:tc>
        <w:tc>
          <w:tcPr>
            <w:tcW w:w="1096" w:type="dxa"/>
            <w:vMerge w:val="restart"/>
            <w:shd w:val="clear" w:color="auto" w:fill="auto"/>
            <w:vAlign w:val="center"/>
          </w:tcPr>
          <w:p w14:paraId="7E26BCED"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0.083</w:t>
            </w:r>
          </w:p>
          <w:p w14:paraId="2F2AD339"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0.007</w:t>
            </w:r>
          </w:p>
          <w:p w14:paraId="18F606C1"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0.006</w:t>
            </w:r>
          </w:p>
        </w:tc>
        <w:tc>
          <w:tcPr>
            <w:cnfStyle w:val="000010000000" w:firstRow="0" w:lastRow="0" w:firstColumn="0" w:lastColumn="0" w:oddVBand="1" w:evenVBand="0" w:oddHBand="0" w:evenHBand="0" w:firstRowFirstColumn="0" w:firstRowLastColumn="0" w:lastRowFirstColumn="0" w:lastRowLastColumn="0"/>
            <w:tcW w:w="1439" w:type="dxa"/>
            <w:vMerge w:val="restart"/>
            <w:tcBorders>
              <w:left w:val="none" w:sz="0" w:space="0" w:color="auto"/>
              <w:right w:val="none" w:sz="0" w:space="0" w:color="auto"/>
            </w:tcBorders>
            <w:shd w:val="clear" w:color="auto" w:fill="auto"/>
            <w:vAlign w:val="center"/>
          </w:tcPr>
          <w:p w14:paraId="316DD3CF"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F (4, 3298) =0.515</w:t>
            </w:r>
          </w:p>
          <w:p w14:paraId="5D6380CB"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0.724</w:t>
            </w:r>
          </w:p>
        </w:tc>
      </w:tr>
      <w:tr w:rsidR="008C6BE4" w:rsidRPr="008C6BE4" w14:paraId="1BC1A5A7" w14:textId="77777777" w:rsidTr="00A6373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2F233861"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 BARS</w:t>
            </w:r>
          </w:p>
        </w:tc>
        <w:tc>
          <w:tcPr>
            <w:tcW w:w="1687" w:type="dxa"/>
            <w:tcBorders>
              <w:top w:val="none" w:sz="0" w:space="0" w:color="auto"/>
              <w:bottom w:val="none" w:sz="0" w:space="0" w:color="auto"/>
            </w:tcBorders>
            <w:shd w:val="clear" w:color="auto" w:fill="auto"/>
          </w:tcPr>
          <w:p w14:paraId="7536BB99"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-0.060±0.138</w:t>
            </w:r>
          </w:p>
        </w:tc>
        <w:tc>
          <w:tcPr>
            <w:cnfStyle w:val="000010000000" w:firstRow="0" w:lastRow="0" w:firstColumn="0" w:lastColumn="0" w:oddVBand="1" w:evenVBand="0" w:oddHBand="0" w:evenHBand="0" w:firstRowFirstColumn="0" w:firstRowLastColumn="0" w:lastRowFirstColumn="0" w:lastRowLastColumn="0"/>
            <w:tcW w:w="1014" w:type="dxa"/>
            <w:tcBorders>
              <w:top w:val="none" w:sz="0" w:space="0" w:color="auto"/>
              <w:left w:val="none" w:sz="0" w:space="0" w:color="auto"/>
              <w:bottom w:val="none" w:sz="0" w:space="0" w:color="auto"/>
              <w:right w:val="none" w:sz="0" w:space="0" w:color="auto"/>
            </w:tcBorders>
            <w:shd w:val="clear" w:color="auto" w:fill="auto"/>
          </w:tcPr>
          <w:p w14:paraId="4FC7DF08"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-0.035</w:t>
            </w:r>
          </w:p>
        </w:tc>
        <w:tc>
          <w:tcPr>
            <w:tcW w:w="1095" w:type="dxa"/>
            <w:tcBorders>
              <w:top w:val="none" w:sz="0" w:space="0" w:color="auto"/>
              <w:bottom w:val="none" w:sz="0" w:space="0" w:color="auto"/>
            </w:tcBorders>
            <w:shd w:val="clear" w:color="auto" w:fill="auto"/>
          </w:tcPr>
          <w:p w14:paraId="41C418E3"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-0.432</w:t>
            </w:r>
          </w:p>
        </w:tc>
        <w:tc>
          <w:tcPr>
            <w:cnfStyle w:val="000010000000" w:firstRow="0" w:lastRow="0" w:firstColumn="0" w:lastColumn="0" w:oddVBand="1" w:evenVBand="0" w:oddHBand="0" w:evenHBand="0" w:firstRowFirstColumn="0" w:firstRowLastColumn="0" w:lastRowFirstColumn="0" w:lastRowLastColumn="0"/>
            <w:tcW w:w="1095" w:type="dxa"/>
            <w:gridSpan w:val="2"/>
            <w:tcBorders>
              <w:top w:val="none" w:sz="0" w:space="0" w:color="auto"/>
              <w:left w:val="none" w:sz="0" w:space="0" w:color="auto"/>
              <w:bottom w:val="none" w:sz="0" w:space="0" w:color="auto"/>
              <w:right w:val="none" w:sz="0" w:space="0" w:color="auto"/>
            </w:tcBorders>
            <w:shd w:val="clear" w:color="auto" w:fill="auto"/>
          </w:tcPr>
          <w:p w14:paraId="1AFB9449"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0.666</w:t>
            </w:r>
          </w:p>
        </w:tc>
        <w:tc>
          <w:tcPr>
            <w:tcW w:w="1096" w:type="dxa"/>
            <w:vMerge/>
            <w:tcBorders>
              <w:top w:val="none" w:sz="0" w:space="0" w:color="auto"/>
              <w:bottom w:val="none" w:sz="0" w:space="0" w:color="auto"/>
            </w:tcBorders>
            <w:shd w:val="clear" w:color="auto" w:fill="auto"/>
            <w:vAlign w:val="center"/>
          </w:tcPr>
          <w:p w14:paraId="40746380"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top w:val="none" w:sz="0" w:space="0" w:color="auto"/>
              <w:left w:val="none" w:sz="0" w:space="0" w:color="auto"/>
              <w:bottom w:val="none" w:sz="0" w:space="0" w:color="auto"/>
              <w:right w:val="none" w:sz="0" w:space="0" w:color="auto"/>
            </w:tcBorders>
            <w:shd w:val="clear" w:color="auto" w:fill="auto"/>
            <w:vAlign w:val="center"/>
          </w:tcPr>
          <w:p w14:paraId="4C19FB11"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C6BE4" w:rsidRPr="008C6BE4" w14:paraId="6411F793" w14:textId="77777777" w:rsidTr="00A6373F">
        <w:trPr>
          <w:trHeight w:val="73"/>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6EFCAF69"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II</w:t>
            </w:r>
          </w:p>
        </w:tc>
        <w:tc>
          <w:tcPr>
            <w:tcW w:w="1687" w:type="dxa"/>
            <w:shd w:val="clear" w:color="auto" w:fill="auto"/>
          </w:tcPr>
          <w:p w14:paraId="6EE254BD"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-0.936±2.528</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tcPr>
          <w:p w14:paraId="7BD9D1C4"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-0.027</w:t>
            </w:r>
          </w:p>
        </w:tc>
        <w:tc>
          <w:tcPr>
            <w:tcW w:w="1095" w:type="dxa"/>
            <w:shd w:val="clear" w:color="auto" w:fill="auto"/>
          </w:tcPr>
          <w:p w14:paraId="6E5136D3"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-0.370</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3CB128C6"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0.712</w:t>
            </w:r>
          </w:p>
        </w:tc>
        <w:tc>
          <w:tcPr>
            <w:tcW w:w="1096" w:type="dxa"/>
            <w:vMerge/>
            <w:shd w:val="clear" w:color="auto" w:fill="auto"/>
            <w:vAlign w:val="center"/>
          </w:tcPr>
          <w:p w14:paraId="737611F6"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left w:val="none" w:sz="0" w:space="0" w:color="auto"/>
              <w:right w:val="none" w:sz="0" w:space="0" w:color="auto"/>
            </w:tcBorders>
            <w:shd w:val="clear" w:color="auto" w:fill="auto"/>
            <w:vAlign w:val="center"/>
          </w:tcPr>
          <w:p w14:paraId="139C0900"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C6BE4" w:rsidRPr="008C6BE4" w14:paraId="679B075B" w14:textId="77777777" w:rsidTr="00A6373F">
        <w:trPr>
          <w:cnfStyle w:val="000000100000" w:firstRow="0" w:lastRow="0" w:firstColumn="0" w:lastColumn="0" w:oddVBand="0" w:evenVBand="0" w:oddHBand="1" w:evenHBand="0" w:firstRowFirstColumn="0" w:firstRowLastColumn="0" w:lastRowFirstColumn="0" w:lastRowLastColumn="0"/>
          <w:trHeight w:val="73"/>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2053B38C"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III</w:t>
            </w:r>
          </w:p>
        </w:tc>
        <w:tc>
          <w:tcPr>
            <w:tcW w:w="1687" w:type="dxa"/>
            <w:tcBorders>
              <w:top w:val="none" w:sz="0" w:space="0" w:color="auto"/>
              <w:bottom w:val="none" w:sz="0" w:space="0" w:color="auto"/>
            </w:tcBorders>
            <w:shd w:val="clear" w:color="auto" w:fill="auto"/>
          </w:tcPr>
          <w:p w14:paraId="461BBFFA"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rPr>
            </w:pPr>
            <w:r w:rsidRPr="008C6BE4">
              <w:rPr>
                <w:rFonts w:asciiTheme="majorBidi" w:hAnsiTheme="majorBidi" w:cstheme="majorBidi"/>
                <w:color w:val="010205"/>
              </w:rPr>
              <w:t>0.554±3.409</w:t>
            </w:r>
          </w:p>
        </w:tc>
        <w:tc>
          <w:tcPr>
            <w:cnfStyle w:val="000010000000" w:firstRow="0" w:lastRow="0" w:firstColumn="0" w:lastColumn="0" w:oddVBand="1" w:evenVBand="0" w:oddHBand="0" w:evenHBand="0" w:firstRowFirstColumn="0" w:firstRowLastColumn="0" w:lastRowFirstColumn="0" w:lastRowLastColumn="0"/>
            <w:tcW w:w="1014" w:type="dxa"/>
            <w:tcBorders>
              <w:top w:val="none" w:sz="0" w:space="0" w:color="auto"/>
              <w:left w:val="none" w:sz="0" w:space="0" w:color="auto"/>
              <w:bottom w:val="none" w:sz="0" w:space="0" w:color="auto"/>
              <w:right w:val="none" w:sz="0" w:space="0" w:color="auto"/>
            </w:tcBorders>
            <w:shd w:val="clear" w:color="auto" w:fill="auto"/>
          </w:tcPr>
          <w:p w14:paraId="31A0A38D" w14:textId="77777777" w:rsidR="008C6BE4" w:rsidRPr="008C6BE4" w:rsidRDefault="008C6BE4" w:rsidP="00CF2E70">
            <w:pPr>
              <w:autoSpaceDE w:val="0"/>
              <w:autoSpaceDN w:val="0"/>
              <w:adjustRightInd w:val="0"/>
              <w:ind w:left="60" w:right="60"/>
              <w:jc w:val="center"/>
              <w:rPr>
                <w:rFonts w:asciiTheme="majorBidi" w:hAnsiTheme="majorBidi" w:cstheme="majorBidi"/>
                <w:color w:val="010205"/>
              </w:rPr>
            </w:pPr>
            <w:r w:rsidRPr="008C6BE4">
              <w:rPr>
                <w:rFonts w:asciiTheme="majorBidi" w:hAnsiTheme="majorBidi" w:cstheme="majorBidi"/>
                <w:color w:val="010205"/>
              </w:rPr>
              <w:t>0.013</w:t>
            </w:r>
          </w:p>
        </w:tc>
        <w:tc>
          <w:tcPr>
            <w:tcW w:w="1095" w:type="dxa"/>
            <w:tcBorders>
              <w:top w:val="none" w:sz="0" w:space="0" w:color="auto"/>
              <w:bottom w:val="none" w:sz="0" w:space="0" w:color="auto"/>
            </w:tcBorders>
            <w:shd w:val="clear" w:color="auto" w:fill="auto"/>
          </w:tcPr>
          <w:p w14:paraId="7AAF27DE"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0.162</w:t>
            </w:r>
          </w:p>
        </w:tc>
        <w:tc>
          <w:tcPr>
            <w:cnfStyle w:val="000010000000" w:firstRow="0" w:lastRow="0" w:firstColumn="0" w:lastColumn="0" w:oddVBand="1" w:evenVBand="0" w:oddHBand="0" w:evenHBand="0" w:firstRowFirstColumn="0" w:firstRowLastColumn="0" w:lastRowFirstColumn="0" w:lastRowLastColumn="0"/>
            <w:tcW w:w="1095" w:type="dxa"/>
            <w:gridSpan w:val="2"/>
            <w:tcBorders>
              <w:top w:val="none" w:sz="0" w:space="0" w:color="auto"/>
              <w:left w:val="none" w:sz="0" w:space="0" w:color="auto"/>
              <w:bottom w:val="none" w:sz="0" w:space="0" w:color="auto"/>
              <w:right w:val="none" w:sz="0" w:space="0" w:color="auto"/>
            </w:tcBorders>
            <w:shd w:val="clear" w:color="auto" w:fill="auto"/>
          </w:tcPr>
          <w:p w14:paraId="2C997313"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0.871</w:t>
            </w:r>
          </w:p>
        </w:tc>
        <w:tc>
          <w:tcPr>
            <w:tcW w:w="1096" w:type="dxa"/>
            <w:vMerge/>
            <w:tcBorders>
              <w:top w:val="none" w:sz="0" w:space="0" w:color="auto"/>
              <w:bottom w:val="none" w:sz="0" w:space="0" w:color="auto"/>
            </w:tcBorders>
            <w:shd w:val="clear" w:color="auto" w:fill="auto"/>
            <w:vAlign w:val="center"/>
          </w:tcPr>
          <w:p w14:paraId="15E06A75"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top w:val="none" w:sz="0" w:space="0" w:color="auto"/>
              <w:left w:val="none" w:sz="0" w:space="0" w:color="auto"/>
              <w:bottom w:val="none" w:sz="0" w:space="0" w:color="auto"/>
              <w:right w:val="none" w:sz="0" w:space="0" w:color="auto"/>
            </w:tcBorders>
            <w:shd w:val="clear" w:color="auto" w:fill="auto"/>
            <w:vAlign w:val="center"/>
          </w:tcPr>
          <w:p w14:paraId="5D60DA14"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C6BE4" w:rsidRPr="008C6BE4" w14:paraId="546B5540" w14:textId="77777777" w:rsidTr="00A6373F">
        <w:trPr>
          <w:trHeight w:val="73"/>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417622F2"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IV</w:t>
            </w:r>
          </w:p>
        </w:tc>
        <w:tc>
          <w:tcPr>
            <w:tcW w:w="1687" w:type="dxa"/>
            <w:shd w:val="clear" w:color="auto" w:fill="auto"/>
          </w:tcPr>
          <w:p w14:paraId="6C27858A"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rPr>
            </w:pPr>
            <w:r w:rsidRPr="008C6BE4">
              <w:rPr>
                <w:rFonts w:asciiTheme="majorBidi" w:hAnsiTheme="majorBidi" w:cstheme="majorBidi"/>
                <w:color w:val="010205"/>
              </w:rPr>
              <w:t>2.981±3.097</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tcPr>
          <w:p w14:paraId="433AE0FD" w14:textId="77777777" w:rsidR="008C6BE4" w:rsidRPr="008C6BE4" w:rsidRDefault="008C6BE4" w:rsidP="00CF2E70">
            <w:pPr>
              <w:autoSpaceDE w:val="0"/>
              <w:autoSpaceDN w:val="0"/>
              <w:adjustRightInd w:val="0"/>
              <w:ind w:left="60" w:right="60"/>
              <w:jc w:val="center"/>
              <w:rPr>
                <w:rFonts w:asciiTheme="majorBidi" w:hAnsiTheme="majorBidi" w:cstheme="majorBidi"/>
                <w:color w:val="010205"/>
              </w:rPr>
            </w:pPr>
            <w:r w:rsidRPr="008C6BE4">
              <w:rPr>
                <w:rFonts w:asciiTheme="majorBidi" w:hAnsiTheme="majorBidi" w:cstheme="majorBidi"/>
                <w:color w:val="010205"/>
              </w:rPr>
              <w:t>0.085</w:t>
            </w:r>
          </w:p>
        </w:tc>
        <w:tc>
          <w:tcPr>
            <w:tcW w:w="1095" w:type="dxa"/>
            <w:shd w:val="clear" w:color="auto" w:fill="auto"/>
          </w:tcPr>
          <w:p w14:paraId="44D62C71"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0.962</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6773BF6B"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0.337</w:t>
            </w:r>
          </w:p>
        </w:tc>
        <w:tc>
          <w:tcPr>
            <w:tcW w:w="1096" w:type="dxa"/>
            <w:vMerge/>
            <w:shd w:val="clear" w:color="auto" w:fill="auto"/>
            <w:vAlign w:val="center"/>
          </w:tcPr>
          <w:p w14:paraId="5E8359F0"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left w:val="none" w:sz="0" w:space="0" w:color="auto"/>
              <w:right w:val="none" w:sz="0" w:space="0" w:color="auto"/>
            </w:tcBorders>
            <w:shd w:val="clear" w:color="auto" w:fill="auto"/>
            <w:vAlign w:val="center"/>
          </w:tcPr>
          <w:p w14:paraId="701E45DE"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r>
      <w:tr w:rsidR="00825FAB" w:rsidRPr="008C6BE4" w14:paraId="25EA2121" w14:textId="77777777" w:rsidTr="00A6373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34B25EFA" w14:textId="77777777" w:rsidR="008C6BE4" w:rsidRPr="008C6BE4" w:rsidRDefault="008C6BE4" w:rsidP="00CF2E70">
            <w:pPr>
              <w:autoSpaceDE w:val="0"/>
              <w:autoSpaceDN w:val="0"/>
              <w:adjustRightInd w:val="0"/>
              <w:ind w:left="60" w:right="60"/>
              <w:jc w:val="both"/>
              <w:rPr>
                <w:rFonts w:asciiTheme="majorBidi" w:hAnsiTheme="majorBidi" w:cstheme="majorBidi"/>
                <w:b/>
                <w:bCs/>
              </w:rPr>
            </w:pPr>
            <w:r w:rsidRPr="008C6BE4">
              <w:rPr>
                <w:rFonts w:asciiTheme="majorBidi" w:hAnsiTheme="majorBidi" w:cstheme="majorBidi"/>
                <w:b/>
                <w:bCs/>
              </w:rPr>
              <w:t xml:space="preserve">% </w:t>
            </w:r>
            <w:bookmarkStart w:id="1" w:name="_Hlk161289123"/>
            <w:r w:rsidRPr="008C6BE4">
              <w:rPr>
                <w:rFonts w:asciiTheme="majorBidi" w:hAnsiTheme="majorBidi" w:cstheme="majorBidi"/>
                <w:b/>
                <w:bCs/>
              </w:rPr>
              <w:t>Δ Psychopathology Domain</w:t>
            </w:r>
            <w:bookmarkEnd w:id="1"/>
          </w:p>
        </w:tc>
        <w:tc>
          <w:tcPr>
            <w:tcW w:w="7426" w:type="dxa"/>
            <w:gridSpan w:val="7"/>
            <w:tcBorders>
              <w:top w:val="none" w:sz="0" w:space="0" w:color="auto"/>
              <w:bottom w:val="none" w:sz="0" w:space="0" w:color="auto"/>
            </w:tcBorders>
            <w:shd w:val="clear" w:color="auto" w:fill="auto"/>
            <w:vAlign w:val="center"/>
          </w:tcPr>
          <w:p w14:paraId="39F277C9"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8C6BE4" w:rsidRPr="008C6BE4" w14:paraId="3F87FCD5" w14:textId="77777777" w:rsidTr="00A6373F">
        <w:trPr>
          <w:trHeight w:val="185"/>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2205B0ED"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(Constant)</w:t>
            </w:r>
          </w:p>
        </w:tc>
        <w:tc>
          <w:tcPr>
            <w:tcW w:w="1687" w:type="dxa"/>
            <w:shd w:val="clear" w:color="auto" w:fill="auto"/>
          </w:tcPr>
          <w:p w14:paraId="4F6147F1"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49.693±4.975</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vAlign w:val="center"/>
          </w:tcPr>
          <w:p w14:paraId="6211CC34" w14:textId="77777777" w:rsidR="008C6BE4" w:rsidRPr="008C6BE4" w:rsidRDefault="008C6BE4" w:rsidP="00CF2E70">
            <w:pPr>
              <w:autoSpaceDE w:val="0"/>
              <w:autoSpaceDN w:val="0"/>
              <w:adjustRightInd w:val="0"/>
              <w:ind w:left="60" w:right="60"/>
              <w:jc w:val="center"/>
              <w:rPr>
                <w:rFonts w:asciiTheme="majorBidi" w:hAnsiTheme="majorBidi" w:cstheme="majorBidi"/>
              </w:rPr>
            </w:pPr>
          </w:p>
        </w:tc>
        <w:tc>
          <w:tcPr>
            <w:tcW w:w="1095" w:type="dxa"/>
            <w:shd w:val="clear" w:color="auto" w:fill="auto"/>
          </w:tcPr>
          <w:p w14:paraId="5FD3D70F"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9.988</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5CEE3111"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0.000</w:t>
            </w:r>
          </w:p>
        </w:tc>
        <w:tc>
          <w:tcPr>
            <w:tcW w:w="1096" w:type="dxa"/>
            <w:vMerge w:val="restart"/>
            <w:shd w:val="clear" w:color="auto" w:fill="auto"/>
            <w:vAlign w:val="center"/>
          </w:tcPr>
          <w:p w14:paraId="38DD321E"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0.821</w:t>
            </w:r>
          </w:p>
          <w:p w14:paraId="18D873AE"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0.674</w:t>
            </w:r>
          </w:p>
          <w:p w14:paraId="42DA9854"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0.669</w:t>
            </w:r>
          </w:p>
        </w:tc>
        <w:tc>
          <w:tcPr>
            <w:cnfStyle w:val="000010000000" w:firstRow="0" w:lastRow="0" w:firstColumn="0" w:lastColumn="0" w:oddVBand="1" w:evenVBand="0" w:oddHBand="0" w:evenHBand="0" w:firstRowFirstColumn="0" w:firstRowLastColumn="0" w:lastRowFirstColumn="0" w:lastRowLastColumn="0"/>
            <w:tcW w:w="1439" w:type="dxa"/>
            <w:vMerge w:val="restart"/>
            <w:tcBorders>
              <w:left w:val="none" w:sz="0" w:space="0" w:color="auto"/>
              <w:right w:val="none" w:sz="0" w:space="0" w:color="auto"/>
            </w:tcBorders>
            <w:shd w:val="clear" w:color="auto" w:fill="auto"/>
            <w:vAlign w:val="center"/>
          </w:tcPr>
          <w:p w14:paraId="5712983E" w14:textId="77777777" w:rsidR="008C6BE4" w:rsidRPr="008C6BE4" w:rsidRDefault="008C6BE4" w:rsidP="00CF2E70">
            <w:pPr>
              <w:autoSpaceDE w:val="0"/>
              <w:autoSpaceDN w:val="0"/>
              <w:adjustRightInd w:val="0"/>
              <w:jc w:val="center"/>
              <w:rPr>
                <w:rFonts w:asciiTheme="majorBidi" w:hAnsiTheme="majorBidi" w:cstheme="majorBidi"/>
              </w:rPr>
            </w:pPr>
            <w:r w:rsidRPr="008C6BE4">
              <w:rPr>
                <w:rFonts w:asciiTheme="majorBidi" w:hAnsiTheme="majorBidi" w:cstheme="majorBidi"/>
              </w:rPr>
              <w:t>F (4, 298) =153.80</w:t>
            </w:r>
          </w:p>
          <w:p w14:paraId="7F677888" w14:textId="77777777" w:rsidR="008C6BE4" w:rsidRPr="008C6BE4" w:rsidRDefault="008C6BE4" w:rsidP="00CF2E70">
            <w:pPr>
              <w:autoSpaceDE w:val="0"/>
              <w:autoSpaceDN w:val="0"/>
              <w:adjustRightInd w:val="0"/>
              <w:jc w:val="center"/>
              <w:rPr>
                <w:rFonts w:asciiTheme="majorBidi" w:hAnsiTheme="majorBidi" w:cstheme="majorBidi"/>
              </w:rPr>
            </w:pPr>
            <w:r w:rsidRPr="008C6BE4">
              <w:rPr>
                <w:rFonts w:asciiTheme="majorBidi" w:hAnsiTheme="majorBidi" w:cstheme="majorBidi"/>
              </w:rPr>
              <w:t>0.000</w:t>
            </w:r>
          </w:p>
        </w:tc>
      </w:tr>
      <w:tr w:rsidR="008C6BE4" w:rsidRPr="008C6BE4" w14:paraId="6466BC93" w14:textId="77777777" w:rsidTr="00A6373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5EFB41EE"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 BARS</w:t>
            </w:r>
          </w:p>
        </w:tc>
        <w:tc>
          <w:tcPr>
            <w:tcW w:w="1687" w:type="dxa"/>
            <w:tcBorders>
              <w:top w:val="none" w:sz="0" w:space="0" w:color="auto"/>
              <w:bottom w:val="none" w:sz="0" w:space="0" w:color="auto"/>
            </w:tcBorders>
            <w:shd w:val="clear" w:color="auto" w:fill="auto"/>
          </w:tcPr>
          <w:p w14:paraId="681D3D65"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-0.850±0.076</w:t>
            </w:r>
          </w:p>
        </w:tc>
        <w:tc>
          <w:tcPr>
            <w:cnfStyle w:val="000010000000" w:firstRow="0" w:lastRow="0" w:firstColumn="0" w:lastColumn="0" w:oddVBand="1" w:evenVBand="0" w:oddHBand="0" w:evenHBand="0" w:firstRowFirstColumn="0" w:firstRowLastColumn="0" w:lastRowFirstColumn="0" w:lastRowLastColumn="0"/>
            <w:tcW w:w="1014" w:type="dxa"/>
            <w:tcBorders>
              <w:top w:val="none" w:sz="0" w:space="0" w:color="auto"/>
              <w:left w:val="none" w:sz="0" w:space="0" w:color="auto"/>
              <w:bottom w:val="none" w:sz="0" w:space="0" w:color="auto"/>
              <w:right w:val="none" w:sz="0" w:space="0" w:color="auto"/>
            </w:tcBorders>
            <w:shd w:val="clear" w:color="auto" w:fill="auto"/>
          </w:tcPr>
          <w:p w14:paraId="44C94826"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-0.517</w:t>
            </w:r>
          </w:p>
        </w:tc>
        <w:tc>
          <w:tcPr>
            <w:tcW w:w="1095" w:type="dxa"/>
            <w:tcBorders>
              <w:top w:val="none" w:sz="0" w:space="0" w:color="auto"/>
              <w:bottom w:val="none" w:sz="0" w:space="0" w:color="auto"/>
            </w:tcBorders>
            <w:shd w:val="clear" w:color="auto" w:fill="auto"/>
          </w:tcPr>
          <w:p w14:paraId="78E1A854"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-11.258</w:t>
            </w:r>
          </w:p>
        </w:tc>
        <w:tc>
          <w:tcPr>
            <w:cnfStyle w:val="000010000000" w:firstRow="0" w:lastRow="0" w:firstColumn="0" w:lastColumn="0" w:oddVBand="1" w:evenVBand="0" w:oddHBand="0" w:evenHBand="0" w:firstRowFirstColumn="0" w:firstRowLastColumn="0" w:lastRowFirstColumn="0" w:lastRowLastColumn="0"/>
            <w:tcW w:w="1095" w:type="dxa"/>
            <w:gridSpan w:val="2"/>
            <w:tcBorders>
              <w:top w:val="none" w:sz="0" w:space="0" w:color="auto"/>
              <w:left w:val="none" w:sz="0" w:space="0" w:color="auto"/>
              <w:bottom w:val="none" w:sz="0" w:space="0" w:color="auto"/>
              <w:right w:val="none" w:sz="0" w:space="0" w:color="auto"/>
            </w:tcBorders>
            <w:shd w:val="clear" w:color="auto" w:fill="auto"/>
          </w:tcPr>
          <w:p w14:paraId="04038625"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0.000</w:t>
            </w:r>
          </w:p>
        </w:tc>
        <w:tc>
          <w:tcPr>
            <w:tcW w:w="1096" w:type="dxa"/>
            <w:vMerge/>
            <w:tcBorders>
              <w:top w:val="none" w:sz="0" w:space="0" w:color="auto"/>
              <w:bottom w:val="none" w:sz="0" w:space="0" w:color="auto"/>
            </w:tcBorders>
            <w:shd w:val="clear" w:color="auto" w:fill="auto"/>
            <w:vAlign w:val="center"/>
          </w:tcPr>
          <w:p w14:paraId="163DF503" w14:textId="77777777" w:rsidR="008C6BE4" w:rsidRPr="008C6BE4" w:rsidRDefault="008C6BE4" w:rsidP="00CF2E70">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top w:val="none" w:sz="0" w:space="0" w:color="auto"/>
              <w:left w:val="none" w:sz="0" w:space="0" w:color="auto"/>
              <w:bottom w:val="none" w:sz="0" w:space="0" w:color="auto"/>
              <w:right w:val="none" w:sz="0" w:space="0" w:color="auto"/>
            </w:tcBorders>
            <w:shd w:val="clear" w:color="auto" w:fill="auto"/>
            <w:vAlign w:val="center"/>
          </w:tcPr>
          <w:p w14:paraId="61ED3713" w14:textId="77777777" w:rsidR="008C6BE4" w:rsidRPr="008C6BE4" w:rsidRDefault="008C6BE4" w:rsidP="00CF2E70">
            <w:pPr>
              <w:autoSpaceDE w:val="0"/>
              <w:autoSpaceDN w:val="0"/>
              <w:adjustRightInd w:val="0"/>
              <w:ind w:left="60" w:right="60"/>
              <w:jc w:val="both"/>
              <w:rPr>
                <w:rFonts w:asciiTheme="majorBidi" w:hAnsiTheme="majorBidi" w:cstheme="majorBidi"/>
              </w:rPr>
            </w:pPr>
          </w:p>
        </w:tc>
      </w:tr>
      <w:tr w:rsidR="008C6BE4" w:rsidRPr="008C6BE4" w14:paraId="761E14E2" w14:textId="77777777" w:rsidTr="00A6373F">
        <w:trPr>
          <w:trHeight w:val="192"/>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545D4A16"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II</w:t>
            </w:r>
          </w:p>
        </w:tc>
        <w:tc>
          <w:tcPr>
            <w:tcW w:w="1687" w:type="dxa"/>
            <w:shd w:val="clear" w:color="auto" w:fill="auto"/>
          </w:tcPr>
          <w:p w14:paraId="19F02368"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-1.245±1.383</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tcPr>
          <w:p w14:paraId="2C8B1876"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-0.0037</w:t>
            </w:r>
          </w:p>
        </w:tc>
        <w:tc>
          <w:tcPr>
            <w:tcW w:w="1095" w:type="dxa"/>
            <w:shd w:val="clear" w:color="auto" w:fill="auto"/>
          </w:tcPr>
          <w:p w14:paraId="6F362BE0"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-0.900</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0C3E1562" w14:textId="77777777" w:rsidR="008C6BE4" w:rsidRPr="008C6BE4" w:rsidRDefault="008C6BE4" w:rsidP="00CF2E70">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color w:val="010205"/>
              </w:rPr>
              <w:t>0.369</w:t>
            </w:r>
          </w:p>
        </w:tc>
        <w:tc>
          <w:tcPr>
            <w:tcW w:w="1096" w:type="dxa"/>
            <w:vMerge/>
            <w:shd w:val="clear" w:color="auto" w:fill="auto"/>
            <w:vAlign w:val="center"/>
          </w:tcPr>
          <w:p w14:paraId="44C6FE62" w14:textId="77777777" w:rsidR="008C6BE4" w:rsidRPr="008C6BE4" w:rsidRDefault="008C6BE4" w:rsidP="00CF2E70">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left w:val="none" w:sz="0" w:space="0" w:color="auto"/>
              <w:right w:val="none" w:sz="0" w:space="0" w:color="auto"/>
            </w:tcBorders>
            <w:shd w:val="clear" w:color="auto" w:fill="auto"/>
            <w:vAlign w:val="center"/>
          </w:tcPr>
          <w:p w14:paraId="2119CEC5" w14:textId="77777777" w:rsidR="008C6BE4" w:rsidRPr="008C6BE4" w:rsidRDefault="008C6BE4" w:rsidP="00CF2E70">
            <w:pPr>
              <w:autoSpaceDE w:val="0"/>
              <w:autoSpaceDN w:val="0"/>
              <w:adjustRightInd w:val="0"/>
              <w:ind w:left="60" w:right="60"/>
              <w:jc w:val="both"/>
              <w:rPr>
                <w:rFonts w:asciiTheme="majorBidi" w:hAnsiTheme="majorBidi" w:cstheme="majorBidi"/>
              </w:rPr>
            </w:pPr>
          </w:p>
        </w:tc>
      </w:tr>
      <w:tr w:rsidR="008C6BE4" w:rsidRPr="008C6BE4" w14:paraId="582AC97A" w14:textId="77777777" w:rsidTr="00A6373F">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shd w:val="clear" w:color="auto" w:fill="auto"/>
            <w:vAlign w:val="center"/>
          </w:tcPr>
          <w:p w14:paraId="7B142094"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III</w:t>
            </w:r>
          </w:p>
        </w:tc>
        <w:tc>
          <w:tcPr>
            <w:tcW w:w="1687" w:type="dxa"/>
            <w:tcBorders>
              <w:top w:val="none" w:sz="0" w:space="0" w:color="auto"/>
              <w:bottom w:val="none" w:sz="0" w:space="0" w:color="auto"/>
            </w:tcBorders>
            <w:shd w:val="clear" w:color="auto" w:fill="auto"/>
          </w:tcPr>
          <w:p w14:paraId="4E32BEFB"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rPr>
            </w:pPr>
            <w:r w:rsidRPr="008C6BE4">
              <w:rPr>
                <w:rFonts w:asciiTheme="majorBidi" w:hAnsiTheme="majorBidi" w:cstheme="majorBidi"/>
                <w:color w:val="010205"/>
              </w:rPr>
              <w:t>-10.602±1.866</w:t>
            </w:r>
          </w:p>
        </w:tc>
        <w:tc>
          <w:tcPr>
            <w:cnfStyle w:val="000010000000" w:firstRow="0" w:lastRow="0" w:firstColumn="0" w:lastColumn="0" w:oddVBand="1" w:evenVBand="0" w:oddHBand="0" w:evenHBand="0" w:firstRowFirstColumn="0" w:firstRowLastColumn="0" w:lastRowFirstColumn="0" w:lastRowLastColumn="0"/>
            <w:tcW w:w="1014" w:type="dxa"/>
            <w:tcBorders>
              <w:top w:val="none" w:sz="0" w:space="0" w:color="auto"/>
              <w:left w:val="none" w:sz="0" w:space="0" w:color="auto"/>
              <w:bottom w:val="none" w:sz="0" w:space="0" w:color="auto"/>
              <w:right w:val="none" w:sz="0" w:space="0" w:color="auto"/>
            </w:tcBorders>
            <w:shd w:val="clear" w:color="auto" w:fill="auto"/>
          </w:tcPr>
          <w:p w14:paraId="0BD58EB6" w14:textId="77777777" w:rsidR="008C6BE4" w:rsidRPr="008C6BE4" w:rsidRDefault="008C6BE4" w:rsidP="00CF2E70">
            <w:pPr>
              <w:autoSpaceDE w:val="0"/>
              <w:autoSpaceDN w:val="0"/>
              <w:adjustRightInd w:val="0"/>
              <w:ind w:left="60" w:right="60"/>
              <w:jc w:val="center"/>
              <w:rPr>
                <w:rFonts w:asciiTheme="majorBidi" w:hAnsiTheme="majorBidi" w:cstheme="majorBidi"/>
                <w:color w:val="010205"/>
              </w:rPr>
            </w:pPr>
            <w:r w:rsidRPr="008C6BE4">
              <w:rPr>
                <w:rFonts w:asciiTheme="majorBidi" w:hAnsiTheme="majorBidi" w:cstheme="majorBidi"/>
                <w:color w:val="010205"/>
              </w:rPr>
              <w:t>-0.261</w:t>
            </w:r>
          </w:p>
        </w:tc>
        <w:tc>
          <w:tcPr>
            <w:tcW w:w="1095" w:type="dxa"/>
            <w:tcBorders>
              <w:top w:val="none" w:sz="0" w:space="0" w:color="auto"/>
              <w:bottom w:val="none" w:sz="0" w:space="0" w:color="auto"/>
            </w:tcBorders>
            <w:shd w:val="clear" w:color="auto" w:fill="auto"/>
          </w:tcPr>
          <w:p w14:paraId="1AD08255" w14:textId="77777777" w:rsidR="008C6BE4" w:rsidRPr="008C6BE4" w:rsidRDefault="008C6BE4" w:rsidP="00CF2E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-5.683</w:t>
            </w:r>
          </w:p>
        </w:tc>
        <w:tc>
          <w:tcPr>
            <w:cnfStyle w:val="000010000000" w:firstRow="0" w:lastRow="0" w:firstColumn="0" w:lastColumn="0" w:oddVBand="1" w:evenVBand="0" w:oddHBand="0" w:evenHBand="0" w:firstRowFirstColumn="0" w:firstRowLastColumn="0" w:lastRowFirstColumn="0" w:lastRowLastColumn="0"/>
            <w:tcW w:w="1095" w:type="dxa"/>
            <w:gridSpan w:val="2"/>
            <w:tcBorders>
              <w:top w:val="none" w:sz="0" w:space="0" w:color="auto"/>
              <w:left w:val="none" w:sz="0" w:space="0" w:color="auto"/>
              <w:bottom w:val="none" w:sz="0" w:space="0" w:color="auto"/>
              <w:right w:val="none" w:sz="0" w:space="0" w:color="auto"/>
            </w:tcBorders>
            <w:shd w:val="clear" w:color="auto" w:fill="auto"/>
          </w:tcPr>
          <w:p w14:paraId="4C24C2C8" w14:textId="77777777" w:rsidR="008C6BE4" w:rsidRPr="008C6BE4" w:rsidRDefault="008C6BE4" w:rsidP="00CF2E70">
            <w:pPr>
              <w:autoSpaceDE w:val="0"/>
              <w:autoSpaceDN w:val="0"/>
              <w:adjustRightInd w:val="0"/>
              <w:ind w:left="60" w:right="60"/>
              <w:jc w:val="center"/>
              <w:rPr>
                <w:rFonts w:asciiTheme="majorBidi" w:hAnsiTheme="majorBidi" w:cstheme="majorBidi"/>
                <w:color w:val="010205"/>
              </w:rPr>
            </w:pPr>
            <w:r w:rsidRPr="008C6BE4">
              <w:rPr>
                <w:rFonts w:asciiTheme="majorBidi" w:hAnsiTheme="majorBidi" w:cstheme="majorBidi"/>
                <w:color w:val="010205"/>
              </w:rPr>
              <w:t>0.000</w:t>
            </w:r>
          </w:p>
        </w:tc>
        <w:tc>
          <w:tcPr>
            <w:tcW w:w="1096" w:type="dxa"/>
            <w:vMerge/>
            <w:tcBorders>
              <w:top w:val="none" w:sz="0" w:space="0" w:color="auto"/>
              <w:bottom w:val="none" w:sz="0" w:space="0" w:color="auto"/>
            </w:tcBorders>
            <w:shd w:val="clear" w:color="auto" w:fill="auto"/>
            <w:vAlign w:val="center"/>
          </w:tcPr>
          <w:p w14:paraId="39514C92" w14:textId="77777777" w:rsidR="008C6BE4" w:rsidRPr="008C6BE4" w:rsidRDefault="008C6BE4" w:rsidP="00CF2E70">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top w:val="none" w:sz="0" w:space="0" w:color="auto"/>
              <w:left w:val="none" w:sz="0" w:space="0" w:color="auto"/>
              <w:bottom w:val="none" w:sz="0" w:space="0" w:color="auto"/>
              <w:right w:val="none" w:sz="0" w:space="0" w:color="auto"/>
            </w:tcBorders>
            <w:shd w:val="clear" w:color="auto" w:fill="auto"/>
            <w:vAlign w:val="center"/>
          </w:tcPr>
          <w:p w14:paraId="7EF355AD" w14:textId="77777777" w:rsidR="008C6BE4" w:rsidRPr="008C6BE4" w:rsidRDefault="008C6BE4" w:rsidP="00CF2E70">
            <w:pPr>
              <w:autoSpaceDE w:val="0"/>
              <w:autoSpaceDN w:val="0"/>
              <w:adjustRightInd w:val="0"/>
              <w:ind w:left="60" w:right="60"/>
              <w:jc w:val="both"/>
              <w:rPr>
                <w:rFonts w:asciiTheme="majorBidi" w:hAnsiTheme="majorBidi" w:cstheme="majorBidi"/>
              </w:rPr>
            </w:pPr>
          </w:p>
        </w:tc>
      </w:tr>
      <w:tr w:rsidR="008C6BE4" w:rsidRPr="008C6BE4" w14:paraId="0D1F7098" w14:textId="77777777" w:rsidTr="00A6373F">
        <w:trPr>
          <w:trHeight w:val="192"/>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shd w:val="clear" w:color="auto" w:fill="auto"/>
            <w:vAlign w:val="center"/>
          </w:tcPr>
          <w:p w14:paraId="7C80426E" w14:textId="77777777" w:rsidR="008C6BE4" w:rsidRPr="008C6BE4" w:rsidRDefault="008C6BE4" w:rsidP="00CF2E70">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APDs Class IV</w:t>
            </w:r>
          </w:p>
        </w:tc>
        <w:tc>
          <w:tcPr>
            <w:tcW w:w="1687" w:type="dxa"/>
            <w:shd w:val="clear" w:color="auto" w:fill="auto"/>
          </w:tcPr>
          <w:p w14:paraId="5F81727D"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rPr>
            </w:pPr>
            <w:r w:rsidRPr="008C6BE4">
              <w:rPr>
                <w:rFonts w:asciiTheme="majorBidi" w:hAnsiTheme="majorBidi" w:cstheme="majorBidi"/>
                <w:color w:val="010205"/>
              </w:rPr>
              <w:t>-12.830±1.695</w:t>
            </w:r>
          </w:p>
        </w:tc>
        <w:tc>
          <w:tcPr>
            <w:cnfStyle w:val="000010000000" w:firstRow="0" w:lastRow="0" w:firstColumn="0" w:lastColumn="0" w:oddVBand="1" w:evenVBand="0" w:oddHBand="0" w:evenHBand="0" w:firstRowFirstColumn="0" w:firstRowLastColumn="0" w:lastRowFirstColumn="0" w:lastRowLastColumn="0"/>
            <w:tcW w:w="1014" w:type="dxa"/>
            <w:tcBorders>
              <w:left w:val="none" w:sz="0" w:space="0" w:color="auto"/>
              <w:right w:val="none" w:sz="0" w:space="0" w:color="auto"/>
            </w:tcBorders>
            <w:shd w:val="clear" w:color="auto" w:fill="auto"/>
          </w:tcPr>
          <w:p w14:paraId="0412216C" w14:textId="77777777" w:rsidR="008C6BE4" w:rsidRPr="008C6BE4" w:rsidRDefault="008C6BE4" w:rsidP="00CF2E70">
            <w:pPr>
              <w:autoSpaceDE w:val="0"/>
              <w:autoSpaceDN w:val="0"/>
              <w:adjustRightInd w:val="0"/>
              <w:ind w:left="60" w:right="60"/>
              <w:jc w:val="center"/>
              <w:rPr>
                <w:rFonts w:asciiTheme="majorBidi" w:hAnsiTheme="majorBidi" w:cstheme="majorBidi"/>
                <w:color w:val="010205"/>
              </w:rPr>
            </w:pPr>
            <w:r w:rsidRPr="008C6BE4">
              <w:rPr>
                <w:rFonts w:asciiTheme="majorBidi" w:hAnsiTheme="majorBidi" w:cstheme="majorBidi"/>
                <w:color w:val="010205"/>
              </w:rPr>
              <w:t>-0.384</w:t>
            </w:r>
          </w:p>
        </w:tc>
        <w:tc>
          <w:tcPr>
            <w:tcW w:w="1095" w:type="dxa"/>
            <w:shd w:val="clear" w:color="auto" w:fill="auto"/>
          </w:tcPr>
          <w:p w14:paraId="4698D0F3" w14:textId="77777777" w:rsidR="008C6BE4" w:rsidRPr="008C6BE4" w:rsidRDefault="008C6BE4" w:rsidP="00CF2E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color w:val="010205"/>
              </w:rPr>
              <w:t>-7.570</w:t>
            </w:r>
          </w:p>
        </w:tc>
        <w:tc>
          <w:tcPr>
            <w:cnfStyle w:val="000010000000" w:firstRow="0" w:lastRow="0" w:firstColumn="0" w:lastColumn="0" w:oddVBand="1" w:evenVBand="0" w:oddHBand="0" w:evenHBand="0" w:firstRowFirstColumn="0" w:firstRowLastColumn="0" w:lastRowFirstColumn="0" w:lastRowLastColumn="0"/>
            <w:tcW w:w="1095" w:type="dxa"/>
            <w:gridSpan w:val="2"/>
            <w:tcBorders>
              <w:left w:val="none" w:sz="0" w:space="0" w:color="auto"/>
              <w:right w:val="none" w:sz="0" w:space="0" w:color="auto"/>
            </w:tcBorders>
            <w:shd w:val="clear" w:color="auto" w:fill="auto"/>
          </w:tcPr>
          <w:p w14:paraId="6F94D443" w14:textId="77777777" w:rsidR="008C6BE4" w:rsidRPr="008C6BE4" w:rsidRDefault="008C6BE4" w:rsidP="00CF2E70">
            <w:pPr>
              <w:autoSpaceDE w:val="0"/>
              <w:autoSpaceDN w:val="0"/>
              <w:adjustRightInd w:val="0"/>
              <w:ind w:left="60" w:right="60"/>
              <w:jc w:val="center"/>
              <w:rPr>
                <w:rFonts w:asciiTheme="majorBidi" w:hAnsiTheme="majorBidi" w:cstheme="majorBidi"/>
                <w:color w:val="010205"/>
              </w:rPr>
            </w:pPr>
            <w:r w:rsidRPr="008C6BE4">
              <w:rPr>
                <w:rFonts w:asciiTheme="majorBidi" w:hAnsiTheme="majorBidi" w:cstheme="majorBidi"/>
                <w:color w:val="010205"/>
              </w:rPr>
              <w:t>0.000</w:t>
            </w:r>
          </w:p>
        </w:tc>
        <w:tc>
          <w:tcPr>
            <w:tcW w:w="1096" w:type="dxa"/>
            <w:vMerge/>
            <w:shd w:val="clear" w:color="auto" w:fill="auto"/>
            <w:vAlign w:val="center"/>
          </w:tcPr>
          <w:p w14:paraId="3BA01450" w14:textId="77777777" w:rsidR="008C6BE4" w:rsidRPr="008C6BE4" w:rsidRDefault="008C6BE4" w:rsidP="00CF2E70">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1439" w:type="dxa"/>
            <w:vMerge/>
            <w:tcBorders>
              <w:left w:val="none" w:sz="0" w:space="0" w:color="auto"/>
              <w:right w:val="none" w:sz="0" w:space="0" w:color="auto"/>
            </w:tcBorders>
            <w:shd w:val="clear" w:color="auto" w:fill="auto"/>
            <w:vAlign w:val="center"/>
          </w:tcPr>
          <w:p w14:paraId="07381237" w14:textId="77777777" w:rsidR="008C6BE4" w:rsidRPr="008C6BE4" w:rsidRDefault="008C6BE4" w:rsidP="00CF2E70">
            <w:pPr>
              <w:autoSpaceDE w:val="0"/>
              <w:autoSpaceDN w:val="0"/>
              <w:adjustRightInd w:val="0"/>
              <w:ind w:left="60" w:right="60"/>
              <w:jc w:val="both"/>
              <w:rPr>
                <w:rFonts w:asciiTheme="majorBidi" w:hAnsiTheme="majorBidi" w:cstheme="majorBidi"/>
              </w:rPr>
            </w:pPr>
          </w:p>
        </w:tc>
      </w:tr>
      <w:tr w:rsidR="008C6BE4" w:rsidRPr="008C6BE4" w14:paraId="0F739F7D" w14:textId="77777777" w:rsidTr="00A6373F">
        <w:trPr>
          <w:cnfStyle w:val="000000100000" w:firstRow="0" w:lastRow="0" w:firstColumn="0" w:lastColumn="0" w:oddVBand="0" w:evenVBand="0" w:oddHBand="1" w:evenHBand="0" w:firstRowFirstColumn="0" w:firstRowLastColumn="0" w:lastRowFirstColumn="0" w:lastRowLastColumn="0"/>
          <w:trHeight w:val="793"/>
        </w:trPr>
        <w:tc>
          <w:tcPr>
            <w:cnfStyle w:val="000010000000" w:firstRow="0" w:lastRow="0" w:firstColumn="0" w:lastColumn="0" w:oddVBand="1" w:evenVBand="0" w:oddHBand="0" w:evenHBand="0" w:firstRowFirstColumn="0" w:firstRowLastColumn="0" w:lastRowFirstColumn="0" w:lastRowLastColumn="0"/>
            <w:tcW w:w="10547" w:type="dxa"/>
            <w:gridSpan w:val="8"/>
            <w:tcBorders>
              <w:top w:val="none" w:sz="0" w:space="0" w:color="auto"/>
              <w:left w:val="none" w:sz="0" w:space="0" w:color="auto"/>
              <w:bottom w:val="none" w:sz="0" w:space="0" w:color="auto"/>
              <w:right w:val="none" w:sz="0" w:space="0" w:color="auto"/>
            </w:tcBorders>
            <w:shd w:val="clear" w:color="auto" w:fill="auto"/>
            <w:vAlign w:val="center"/>
          </w:tcPr>
          <w:p w14:paraId="0A2F3BEE" w14:textId="77777777" w:rsidR="008C6BE4" w:rsidRPr="008C6BE4" w:rsidRDefault="008C6BE4" w:rsidP="008C6BE4">
            <w:pPr>
              <w:pStyle w:val="ListParagraph"/>
              <w:numPr>
                <w:ilvl w:val="0"/>
                <w:numId w:val="9"/>
              </w:numPr>
              <w:autoSpaceDE w:val="0"/>
              <w:autoSpaceDN w:val="0"/>
              <w:adjustRightInd w:val="0"/>
              <w:ind w:right="60"/>
              <w:jc w:val="both"/>
              <w:rPr>
                <w:rFonts w:asciiTheme="majorBidi" w:hAnsiTheme="majorBidi" w:cstheme="majorBidi"/>
              </w:rPr>
            </w:pPr>
            <w:r w:rsidRPr="008C6BE4">
              <w:rPr>
                <w:rFonts w:asciiTheme="majorBidi" w:hAnsiTheme="majorBidi" w:cstheme="majorBidi"/>
              </w:rPr>
              <w:t xml:space="preserve">A multiple linear regression analyses were conducted for the three investigated psycho domains; positive, negative, and psychopathological, to explore the significance and actual association of each versus the tested antipsychotic drugs classes; Class I-IV, while </w:t>
            </w:r>
            <w:proofErr w:type="gramStart"/>
            <w:r w:rsidRPr="008C6BE4">
              <w:rPr>
                <w:rFonts w:asciiTheme="majorBidi" w:hAnsiTheme="majorBidi" w:cstheme="majorBidi"/>
              </w:rPr>
              <w:t>taking into account</w:t>
            </w:r>
            <w:proofErr w:type="gramEnd"/>
            <w:r w:rsidRPr="008C6BE4">
              <w:rPr>
                <w:rFonts w:asciiTheme="majorBidi" w:hAnsiTheme="majorBidi" w:cstheme="majorBidi"/>
              </w:rPr>
              <w:t xml:space="preserve"> the contribution of patients’ </w:t>
            </w:r>
            <w:proofErr w:type="spellStart"/>
            <w:r w:rsidRPr="008C6BE4">
              <w:rPr>
                <w:rFonts w:asciiTheme="majorBidi" w:hAnsiTheme="majorBidi" w:cstheme="majorBidi"/>
              </w:rPr>
              <w:t>behavioural</w:t>
            </w:r>
            <w:proofErr w:type="spellEnd"/>
            <w:r w:rsidRPr="008C6BE4">
              <w:rPr>
                <w:rFonts w:asciiTheme="majorBidi" w:hAnsiTheme="majorBidi" w:cstheme="majorBidi"/>
              </w:rPr>
              <w:t xml:space="preserve"> adherence rating scale.</w:t>
            </w:r>
          </w:p>
          <w:p w14:paraId="511AE297" w14:textId="77777777" w:rsidR="008C6BE4" w:rsidRPr="008C6BE4" w:rsidRDefault="008C6BE4" w:rsidP="008C6BE4">
            <w:pPr>
              <w:pStyle w:val="ListParagraph"/>
              <w:numPr>
                <w:ilvl w:val="0"/>
                <w:numId w:val="9"/>
              </w:numPr>
              <w:autoSpaceDE w:val="0"/>
              <w:autoSpaceDN w:val="0"/>
              <w:adjustRightInd w:val="0"/>
              <w:ind w:right="60"/>
              <w:jc w:val="both"/>
              <w:rPr>
                <w:rFonts w:asciiTheme="majorBidi" w:hAnsiTheme="majorBidi" w:cstheme="majorBidi"/>
              </w:rPr>
            </w:pPr>
            <w:r w:rsidRPr="008C6BE4">
              <w:rPr>
                <w:rFonts w:asciiTheme="majorBidi" w:hAnsiTheme="majorBidi" w:cstheme="majorBidi"/>
              </w:rPr>
              <w:t>We adopted APDs Class I as reference and accordingly we recode other APDs II-IV into different dummy variables.</w:t>
            </w:r>
          </w:p>
        </w:tc>
      </w:tr>
      <w:tr w:rsidR="008C6BE4" w:rsidRPr="008C6BE4" w14:paraId="313D5047" w14:textId="77777777" w:rsidTr="00A6373F">
        <w:trPr>
          <w:trHeight w:val="192"/>
        </w:trPr>
        <w:tc>
          <w:tcPr>
            <w:cnfStyle w:val="000010000000" w:firstRow="0" w:lastRow="0" w:firstColumn="0" w:lastColumn="0" w:oddVBand="1" w:evenVBand="0" w:oddHBand="0" w:evenHBand="0" w:firstRowFirstColumn="0" w:firstRowLastColumn="0" w:lastRowFirstColumn="0" w:lastRowLastColumn="0"/>
            <w:tcW w:w="5822" w:type="dxa"/>
            <w:gridSpan w:val="3"/>
            <w:tcBorders>
              <w:left w:val="none" w:sz="0" w:space="0" w:color="auto"/>
              <w:right w:val="none" w:sz="0" w:space="0" w:color="auto"/>
            </w:tcBorders>
            <w:shd w:val="clear" w:color="auto" w:fill="auto"/>
            <w:vAlign w:val="center"/>
          </w:tcPr>
          <w:p w14:paraId="61BA2FB6" w14:textId="77777777" w:rsidR="008C6BE4" w:rsidRPr="008C6BE4" w:rsidRDefault="008C6BE4" w:rsidP="00CF2E70">
            <w:pPr>
              <w:autoSpaceDE w:val="0"/>
              <w:autoSpaceDN w:val="0"/>
              <w:adjustRightInd w:val="0"/>
              <w:ind w:left="60" w:right="60"/>
              <w:jc w:val="both"/>
              <w:rPr>
                <w:rFonts w:asciiTheme="majorBidi" w:hAnsiTheme="majorBidi" w:cstheme="majorBidi"/>
              </w:rPr>
            </w:pPr>
            <w:r w:rsidRPr="008C6BE4">
              <w:rPr>
                <w:rFonts w:asciiTheme="majorBidi" w:hAnsiTheme="majorBidi" w:cstheme="majorBidi"/>
              </w:rPr>
              <w:t>APDs: Antipsychotic drugs.</w:t>
            </w:r>
          </w:p>
        </w:tc>
        <w:tc>
          <w:tcPr>
            <w:tcW w:w="4725" w:type="dxa"/>
            <w:gridSpan w:val="5"/>
            <w:shd w:val="clear" w:color="auto" w:fill="auto"/>
            <w:vAlign w:val="center"/>
          </w:tcPr>
          <w:p w14:paraId="3EC546E3" w14:textId="77777777" w:rsidR="008C6BE4" w:rsidRPr="008C6BE4" w:rsidRDefault="008C6BE4" w:rsidP="00CF2E70">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C6BE4">
              <w:rPr>
                <w:rFonts w:asciiTheme="majorBidi" w:hAnsiTheme="majorBidi" w:cstheme="majorBidi"/>
              </w:rPr>
              <w:t xml:space="preserve">BARS: </w:t>
            </w:r>
            <w:proofErr w:type="spellStart"/>
            <w:r w:rsidRPr="008C6BE4">
              <w:rPr>
                <w:rFonts w:asciiTheme="majorBidi" w:hAnsiTheme="majorBidi" w:cstheme="majorBidi"/>
              </w:rPr>
              <w:t>Behavioural</w:t>
            </w:r>
            <w:proofErr w:type="spellEnd"/>
            <w:r w:rsidRPr="008C6BE4">
              <w:rPr>
                <w:rFonts w:asciiTheme="majorBidi" w:hAnsiTheme="majorBidi" w:cstheme="majorBidi"/>
              </w:rPr>
              <w:t xml:space="preserve"> adherence rating scale</w:t>
            </w:r>
          </w:p>
        </w:tc>
      </w:tr>
      <w:bookmarkEnd w:id="0"/>
    </w:tbl>
    <w:p w14:paraId="0910F853" w14:textId="5B6ADEC9" w:rsidR="008C6BE4" w:rsidRDefault="008C6BE4" w:rsidP="008C6BE4">
      <w:pPr>
        <w:autoSpaceDE w:val="0"/>
        <w:autoSpaceDN w:val="0"/>
        <w:adjustRightInd w:val="0"/>
        <w:spacing w:after="0" w:line="240" w:lineRule="auto"/>
        <w:rPr>
          <w:rFonts w:asciiTheme="majorBidi" w:hAnsiTheme="majorBidi" w:cstheme="majorBidi"/>
          <w:sz w:val="24"/>
          <w:szCs w:val="24"/>
        </w:rPr>
      </w:pPr>
    </w:p>
    <w:p w14:paraId="2DF1BB55" w14:textId="2DAC7E74" w:rsidR="00ED39AC" w:rsidRDefault="00ED39AC" w:rsidP="008C6BE4">
      <w:pPr>
        <w:autoSpaceDE w:val="0"/>
        <w:autoSpaceDN w:val="0"/>
        <w:adjustRightInd w:val="0"/>
        <w:spacing w:after="0" w:line="240" w:lineRule="auto"/>
        <w:rPr>
          <w:rFonts w:asciiTheme="majorBidi" w:hAnsiTheme="majorBidi" w:cstheme="majorBidi"/>
          <w:sz w:val="24"/>
          <w:szCs w:val="24"/>
        </w:rPr>
      </w:pPr>
    </w:p>
    <w:p w14:paraId="4D7BE20F" w14:textId="77777777" w:rsidR="00ED39AC" w:rsidRPr="008C6BE4" w:rsidRDefault="00ED39AC" w:rsidP="008C6BE4">
      <w:pPr>
        <w:autoSpaceDE w:val="0"/>
        <w:autoSpaceDN w:val="0"/>
        <w:adjustRightInd w:val="0"/>
        <w:spacing w:after="0" w:line="240" w:lineRule="auto"/>
        <w:rPr>
          <w:rFonts w:asciiTheme="majorBidi" w:hAnsiTheme="majorBidi" w:cstheme="majorBidi"/>
          <w:sz w:val="24"/>
          <w:szCs w:val="24"/>
        </w:rPr>
      </w:pPr>
    </w:p>
    <w:p w14:paraId="6B1343DE" w14:textId="77777777" w:rsidR="008C6BE4" w:rsidRPr="008C6BE4" w:rsidRDefault="008C6BE4" w:rsidP="008C6BE4">
      <w:pPr>
        <w:autoSpaceDE w:val="0"/>
        <w:autoSpaceDN w:val="0"/>
        <w:adjustRightInd w:val="0"/>
        <w:spacing w:after="0" w:line="240" w:lineRule="auto"/>
        <w:rPr>
          <w:rFonts w:asciiTheme="majorBidi" w:hAnsiTheme="majorBidi" w:cstheme="majorBidi"/>
          <w:sz w:val="24"/>
          <w:szCs w:val="24"/>
        </w:rPr>
      </w:pPr>
    </w:p>
    <w:tbl>
      <w:tblPr>
        <w:tblStyle w:val="GridTable1Light-Accent3"/>
        <w:tblW w:w="10538" w:type="dxa"/>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3031"/>
        <w:gridCol w:w="1349"/>
        <w:gridCol w:w="888"/>
        <w:gridCol w:w="461"/>
        <w:gridCol w:w="1349"/>
        <w:gridCol w:w="1265"/>
        <w:gridCol w:w="1349"/>
        <w:gridCol w:w="846"/>
      </w:tblGrid>
      <w:tr w:rsidR="008C6BE4" w:rsidRPr="008C6BE4" w14:paraId="6AB63BF5" w14:textId="77777777" w:rsidTr="00A6373F">
        <w:trPr>
          <w:trHeight w:val="486"/>
          <w:jc w:val="center"/>
        </w:trPr>
        <w:tc>
          <w:tcPr>
            <w:tcW w:w="10538" w:type="dxa"/>
            <w:gridSpan w:val="8"/>
            <w:tcBorders>
              <w:bottom w:val="nil"/>
            </w:tcBorders>
            <w:shd w:val="clear" w:color="auto" w:fill="auto"/>
          </w:tcPr>
          <w:p w14:paraId="225324C4" w14:textId="77777777" w:rsidR="008C6BE4" w:rsidRPr="00A6373F" w:rsidRDefault="008C6BE4" w:rsidP="00ED39AC">
            <w:pPr>
              <w:autoSpaceDE w:val="0"/>
              <w:autoSpaceDN w:val="0"/>
              <w:adjustRightInd w:val="0"/>
              <w:ind w:left="60" w:right="60"/>
              <w:jc w:val="both"/>
              <w:rPr>
                <w:rFonts w:asciiTheme="majorBidi" w:hAnsiTheme="majorBidi" w:cstheme="majorBidi"/>
                <w:b/>
                <w:bCs/>
                <w:u w:val="single"/>
              </w:rPr>
            </w:pPr>
            <w:r w:rsidRPr="00A6373F">
              <w:rPr>
                <w:rFonts w:asciiTheme="majorBidi" w:hAnsiTheme="majorBidi" w:cstheme="majorBidi"/>
                <w:b/>
                <w:bCs/>
                <w:u w:val="single"/>
              </w:rPr>
              <w:t xml:space="preserve">Table </w:t>
            </w:r>
            <w:r w:rsidRPr="00A6373F">
              <w:rPr>
                <w:rFonts w:asciiTheme="majorBidi" w:hAnsiTheme="majorBidi" w:cstheme="majorBidi"/>
                <w:b/>
                <w:bCs/>
                <w:u w:val="single"/>
                <w:rtl/>
              </w:rPr>
              <w:t>2</w:t>
            </w:r>
            <w:r w:rsidRPr="00A6373F">
              <w:rPr>
                <w:rFonts w:asciiTheme="majorBidi" w:hAnsiTheme="majorBidi" w:cstheme="majorBidi"/>
                <w:b/>
                <w:bCs/>
                <w:u w:val="single"/>
              </w:rPr>
              <w:t xml:space="preserve">. </w:t>
            </w:r>
            <w:proofErr w:type="spellStart"/>
            <w:r w:rsidRPr="00A6373F">
              <w:rPr>
                <w:rFonts w:asciiTheme="majorBidi" w:hAnsiTheme="majorBidi" w:cstheme="majorBidi"/>
                <w:b/>
                <w:bCs/>
                <w:u w:val="single"/>
              </w:rPr>
              <w:t>Analysed</w:t>
            </w:r>
            <w:proofErr w:type="spellEnd"/>
            <w:r w:rsidRPr="00A6373F">
              <w:rPr>
                <w:rFonts w:asciiTheme="majorBidi" w:hAnsiTheme="majorBidi" w:cstheme="majorBidi"/>
                <w:b/>
                <w:bCs/>
                <w:u w:val="single"/>
              </w:rPr>
              <w:t xml:space="preserve"> the distribution rates of the patients’ tested variables; demographics, adherence, and responsiveness rates, among the four different classes of anti-psychotic medications.</w:t>
            </w:r>
          </w:p>
        </w:tc>
      </w:tr>
      <w:tr w:rsidR="008C6BE4" w:rsidRPr="008C6BE4" w14:paraId="22CC1CD0" w14:textId="77777777" w:rsidTr="00A6373F">
        <w:trPr>
          <w:trHeight w:val="938"/>
          <w:jc w:val="center"/>
        </w:trPr>
        <w:tc>
          <w:tcPr>
            <w:tcW w:w="3031" w:type="dxa"/>
            <w:tcBorders>
              <w:top w:val="nil"/>
              <w:bottom w:val="nil"/>
              <w:right w:val="nil"/>
            </w:tcBorders>
            <w:shd w:val="clear" w:color="auto" w:fill="auto"/>
            <w:vAlign w:val="center"/>
          </w:tcPr>
          <w:p w14:paraId="6C270E27" w14:textId="77777777" w:rsidR="008C6BE4" w:rsidRPr="008C6BE4" w:rsidRDefault="008C6BE4" w:rsidP="00ED39AC">
            <w:pPr>
              <w:autoSpaceDE w:val="0"/>
              <w:autoSpaceDN w:val="0"/>
              <w:adjustRightInd w:val="0"/>
              <w:ind w:left="60" w:right="60"/>
              <w:jc w:val="center"/>
              <w:rPr>
                <w:rFonts w:asciiTheme="majorBidi" w:hAnsiTheme="majorBidi" w:cstheme="majorBidi"/>
              </w:rPr>
            </w:pPr>
          </w:p>
        </w:tc>
        <w:tc>
          <w:tcPr>
            <w:tcW w:w="1349" w:type="dxa"/>
            <w:tcBorders>
              <w:top w:val="nil"/>
              <w:left w:val="nil"/>
              <w:bottom w:val="nil"/>
              <w:right w:val="nil"/>
            </w:tcBorders>
            <w:shd w:val="clear" w:color="auto" w:fill="auto"/>
            <w:vAlign w:val="center"/>
          </w:tcPr>
          <w:p w14:paraId="3156DA71"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APD</w:t>
            </w:r>
          </w:p>
          <w:p w14:paraId="6C06E6A8"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Class I</w:t>
            </w:r>
          </w:p>
          <w:p w14:paraId="5FCBB16B" w14:textId="77777777" w:rsidR="008C6BE4" w:rsidRPr="008C6BE4" w:rsidRDefault="008C6BE4" w:rsidP="00ED39AC">
            <w:pPr>
              <w:autoSpaceDE w:val="0"/>
              <w:autoSpaceDN w:val="0"/>
              <w:adjustRightInd w:val="0"/>
              <w:ind w:left="60" w:right="60"/>
              <w:jc w:val="center"/>
              <w:rPr>
                <w:rFonts w:asciiTheme="majorBidi" w:hAnsiTheme="majorBidi" w:cstheme="majorBidi"/>
                <w:b/>
                <w:bCs/>
                <w:sz w:val="20"/>
                <w:szCs w:val="20"/>
              </w:rPr>
            </w:pPr>
            <w:r w:rsidRPr="008C6BE4">
              <w:rPr>
                <w:rFonts w:asciiTheme="majorBidi" w:hAnsiTheme="majorBidi" w:cstheme="majorBidi"/>
                <w:b/>
                <w:bCs/>
                <w:sz w:val="20"/>
                <w:szCs w:val="20"/>
              </w:rPr>
              <w:t>(N=72, 23.76%)</w:t>
            </w:r>
          </w:p>
        </w:tc>
        <w:tc>
          <w:tcPr>
            <w:tcW w:w="1349" w:type="dxa"/>
            <w:gridSpan w:val="2"/>
            <w:tcBorders>
              <w:top w:val="nil"/>
              <w:left w:val="nil"/>
              <w:bottom w:val="nil"/>
              <w:right w:val="nil"/>
            </w:tcBorders>
            <w:shd w:val="clear" w:color="auto" w:fill="auto"/>
            <w:vAlign w:val="center"/>
          </w:tcPr>
          <w:p w14:paraId="24622F6A"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APD</w:t>
            </w:r>
          </w:p>
          <w:p w14:paraId="65C1AB4E"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Class II</w:t>
            </w:r>
          </w:p>
          <w:p w14:paraId="51D5B935" w14:textId="77777777" w:rsidR="008C6BE4" w:rsidRPr="008C6BE4" w:rsidRDefault="008C6BE4" w:rsidP="00ED39AC">
            <w:pPr>
              <w:autoSpaceDE w:val="0"/>
              <w:autoSpaceDN w:val="0"/>
              <w:adjustRightInd w:val="0"/>
              <w:ind w:left="60" w:right="60"/>
              <w:jc w:val="center"/>
              <w:rPr>
                <w:rFonts w:asciiTheme="majorBidi" w:hAnsiTheme="majorBidi" w:cstheme="majorBidi"/>
                <w:b/>
                <w:bCs/>
                <w:sz w:val="20"/>
                <w:szCs w:val="20"/>
              </w:rPr>
            </w:pPr>
            <w:r w:rsidRPr="008C6BE4">
              <w:rPr>
                <w:rFonts w:asciiTheme="majorBidi" w:hAnsiTheme="majorBidi" w:cstheme="majorBidi"/>
                <w:b/>
                <w:bCs/>
                <w:sz w:val="20"/>
                <w:szCs w:val="20"/>
              </w:rPr>
              <w:t>(N=91, 30.03%)</w:t>
            </w:r>
          </w:p>
        </w:tc>
        <w:tc>
          <w:tcPr>
            <w:tcW w:w="1349" w:type="dxa"/>
            <w:tcBorders>
              <w:top w:val="nil"/>
              <w:left w:val="nil"/>
              <w:bottom w:val="nil"/>
              <w:right w:val="nil"/>
            </w:tcBorders>
            <w:shd w:val="clear" w:color="auto" w:fill="auto"/>
            <w:vAlign w:val="center"/>
          </w:tcPr>
          <w:p w14:paraId="0F2F1959"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APD</w:t>
            </w:r>
          </w:p>
          <w:p w14:paraId="1CEC1ECF"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Class III</w:t>
            </w:r>
          </w:p>
          <w:p w14:paraId="2966BCDF" w14:textId="77777777" w:rsidR="008C6BE4" w:rsidRPr="008C6BE4" w:rsidRDefault="008C6BE4" w:rsidP="00ED39AC">
            <w:pPr>
              <w:autoSpaceDE w:val="0"/>
              <w:autoSpaceDN w:val="0"/>
              <w:adjustRightInd w:val="0"/>
              <w:ind w:left="60" w:right="60"/>
              <w:jc w:val="center"/>
              <w:rPr>
                <w:rFonts w:asciiTheme="majorBidi" w:hAnsiTheme="majorBidi" w:cstheme="majorBidi"/>
                <w:b/>
                <w:bCs/>
                <w:sz w:val="20"/>
                <w:szCs w:val="20"/>
              </w:rPr>
            </w:pPr>
            <w:r w:rsidRPr="008C6BE4">
              <w:rPr>
                <w:rFonts w:asciiTheme="majorBidi" w:hAnsiTheme="majorBidi" w:cstheme="majorBidi"/>
                <w:b/>
                <w:bCs/>
                <w:sz w:val="20"/>
                <w:szCs w:val="20"/>
              </w:rPr>
              <w:t>(N=51, 16.83%)</w:t>
            </w:r>
          </w:p>
        </w:tc>
        <w:tc>
          <w:tcPr>
            <w:tcW w:w="1265" w:type="dxa"/>
            <w:tcBorders>
              <w:top w:val="nil"/>
              <w:left w:val="nil"/>
              <w:bottom w:val="nil"/>
              <w:right w:val="nil"/>
            </w:tcBorders>
            <w:shd w:val="clear" w:color="auto" w:fill="auto"/>
            <w:vAlign w:val="center"/>
          </w:tcPr>
          <w:p w14:paraId="65689066"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APD</w:t>
            </w:r>
          </w:p>
          <w:p w14:paraId="77788DA4"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Class IV</w:t>
            </w:r>
          </w:p>
          <w:p w14:paraId="66DEBEB1" w14:textId="77777777" w:rsidR="008C6BE4" w:rsidRPr="008C6BE4" w:rsidRDefault="008C6BE4" w:rsidP="00ED39AC">
            <w:pPr>
              <w:autoSpaceDE w:val="0"/>
              <w:autoSpaceDN w:val="0"/>
              <w:adjustRightInd w:val="0"/>
              <w:ind w:left="60" w:right="60"/>
              <w:jc w:val="center"/>
              <w:rPr>
                <w:rFonts w:asciiTheme="majorBidi" w:hAnsiTheme="majorBidi" w:cstheme="majorBidi"/>
                <w:b/>
                <w:bCs/>
                <w:sz w:val="20"/>
                <w:szCs w:val="20"/>
              </w:rPr>
            </w:pPr>
            <w:r w:rsidRPr="008C6BE4">
              <w:rPr>
                <w:rFonts w:asciiTheme="majorBidi" w:hAnsiTheme="majorBidi" w:cstheme="majorBidi"/>
                <w:b/>
                <w:bCs/>
                <w:sz w:val="20"/>
                <w:szCs w:val="20"/>
              </w:rPr>
              <w:t>(N=89, 29.37%)</w:t>
            </w:r>
          </w:p>
        </w:tc>
        <w:tc>
          <w:tcPr>
            <w:tcW w:w="1349" w:type="dxa"/>
            <w:tcBorders>
              <w:top w:val="nil"/>
              <w:left w:val="nil"/>
              <w:bottom w:val="nil"/>
              <w:right w:val="nil"/>
            </w:tcBorders>
            <w:shd w:val="clear" w:color="auto" w:fill="auto"/>
            <w:vAlign w:val="center"/>
          </w:tcPr>
          <w:p w14:paraId="0A467EB8"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Total</w:t>
            </w:r>
          </w:p>
          <w:p w14:paraId="4D781A55"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(303)</w:t>
            </w:r>
          </w:p>
        </w:tc>
        <w:tc>
          <w:tcPr>
            <w:tcW w:w="843" w:type="dxa"/>
            <w:tcBorders>
              <w:top w:val="nil"/>
              <w:left w:val="nil"/>
              <w:bottom w:val="nil"/>
            </w:tcBorders>
            <w:shd w:val="clear" w:color="auto" w:fill="auto"/>
            <w:vAlign w:val="center"/>
          </w:tcPr>
          <w:p w14:paraId="1396FF48" w14:textId="77777777" w:rsidR="008C6BE4" w:rsidRPr="008C6BE4" w:rsidRDefault="008C6BE4" w:rsidP="00ED39AC">
            <w:pPr>
              <w:autoSpaceDE w:val="0"/>
              <w:autoSpaceDN w:val="0"/>
              <w:adjustRightInd w:val="0"/>
              <w:ind w:left="60" w:right="60"/>
              <w:jc w:val="center"/>
              <w:rPr>
                <w:rFonts w:asciiTheme="majorBidi" w:hAnsiTheme="majorBidi" w:cstheme="majorBidi"/>
                <w:b/>
                <w:bCs/>
              </w:rPr>
            </w:pPr>
            <w:r w:rsidRPr="008C6BE4">
              <w:rPr>
                <w:rFonts w:asciiTheme="majorBidi" w:hAnsiTheme="majorBidi" w:cstheme="majorBidi"/>
                <w:b/>
                <w:bCs/>
              </w:rPr>
              <w:t>p-value</w:t>
            </w:r>
          </w:p>
        </w:tc>
      </w:tr>
      <w:tr w:rsidR="008C6BE4" w:rsidRPr="008C6BE4" w14:paraId="52FA746C" w14:textId="77777777" w:rsidTr="00A6373F">
        <w:trPr>
          <w:trHeight w:val="321"/>
          <w:jc w:val="center"/>
        </w:trPr>
        <w:tc>
          <w:tcPr>
            <w:tcW w:w="3031" w:type="dxa"/>
            <w:tcBorders>
              <w:top w:val="nil"/>
            </w:tcBorders>
            <w:shd w:val="clear" w:color="auto" w:fill="auto"/>
            <w:vAlign w:val="center"/>
          </w:tcPr>
          <w:p w14:paraId="0B7A1F1F" w14:textId="77777777" w:rsidR="008C6BE4" w:rsidRPr="008C6BE4" w:rsidRDefault="008C6BE4" w:rsidP="00ED39AC">
            <w:pPr>
              <w:autoSpaceDE w:val="0"/>
              <w:autoSpaceDN w:val="0"/>
              <w:adjustRightInd w:val="0"/>
              <w:ind w:left="60" w:right="60"/>
              <w:rPr>
                <w:rFonts w:asciiTheme="majorBidi" w:hAnsiTheme="majorBidi" w:cstheme="majorBidi"/>
                <w:b/>
                <w:bCs/>
              </w:rPr>
            </w:pPr>
            <w:r w:rsidRPr="008C6BE4">
              <w:rPr>
                <w:rFonts w:asciiTheme="majorBidi" w:hAnsiTheme="majorBidi" w:cstheme="majorBidi"/>
                <w:b/>
                <w:bCs/>
              </w:rPr>
              <w:t>Gender</w:t>
            </w:r>
          </w:p>
        </w:tc>
        <w:tc>
          <w:tcPr>
            <w:tcW w:w="7506" w:type="dxa"/>
            <w:gridSpan w:val="7"/>
            <w:tcBorders>
              <w:top w:val="nil"/>
            </w:tcBorders>
            <w:shd w:val="clear" w:color="auto" w:fill="auto"/>
            <w:vAlign w:val="center"/>
          </w:tcPr>
          <w:p w14:paraId="6708ADA5" w14:textId="77777777" w:rsidR="008C6BE4" w:rsidRPr="008C6BE4" w:rsidRDefault="008C6BE4" w:rsidP="00ED39AC">
            <w:pPr>
              <w:autoSpaceDE w:val="0"/>
              <w:autoSpaceDN w:val="0"/>
              <w:adjustRightInd w:val="0"/>
              <w:ind w:left="60" w:right="60"/>
              <w:jc w:val="center"/>
              <w:rPr>
                <w:rFonts w:asciiTheme="majorBidi" w:hAnsiTheme="majorBidi" w:cstheme="majorBidi"/>
              </w:rPr>
            </w:pPr>
          </w:p>
        </w:tc>
      </w:tr>
      <w:tr w:rsidR="008C6BE4" w:rsidRPr="008C6BE4" w14:paraId="1EB697EF" w14:textId="77777777" w:rsidTr="00A6373F">
        <w:trPr>
          <w:trHeight w:val="321"/>
          <w:jc w:val="center"/>
        </w:trPr>
        <w:tc>
          <w:tcPr>
            <w:tcW w:w="3031" w:type="dxa"/>
            <w:vMerge w:val="restart"/>
            <w:shd w:val="clear" w:color="auto" w:fill="auto"/>
            <w:vAlign w:val="center"/>
          </w:tcPr>
          <w:p w14:paraId="6D513922" w14:textId="77777777" w:rsidR="008C6BE4" w:rsidRPr="008C6BE4" w:rsidRDefault="008C6BE4" w:rsidP="00ED39AC">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Female</w:t>
            </w:r>
          </w:p>
          <w:p w14:paraId="6009CEC0" w14:textId="77777777" w:rsidR="008C6BE4" w:rsidRPr="008C6BE4" w:rsidRDefault="008C6BE4" w:rsidP="00ED39AC">
            <w:pPr>
              <w:autoSpaceDE w:val="0"/>
              <w:autoSpaceDN w:val="0"/>
              <w:adjustRightInd w:val="0"/>
              <w:ind w:left="60" w:right="60"/>
              <w:jc w:val="right"/>
              <w:rPr>
                <w:rFonts w:asciiTheme="majorBidi" w:hAnsiTheme="majorBidi" w:cstheme="majorBidi"/>
                <w:b/>
                <w:bCs/>
              </w:rPr>
            </w:pPr>
            <w:r w:rsidRPr="008C6BE4">
              <w:rPr>
                <w:rFonts w:asciiTheme="majorBidi" w:hAnsiTheme="majorBidi" w:cstheme="majorBidi"/>
                <w:b/>
                <w:bCs/>
              </w:rPr>
              <w:t>Male</w:t>
            </w:r>
          </w:p>
        </w:tc>
        <w:tc>
          <w:tcPr>
            <w:tcW w:w="1349" w:type="dxa"/>
            <w:shd w:val="clear" w:color="auto" w:fill="auto"/>
            <w:vAlign w:val="center"/>
          </w:tcPr>
          <w:p w14:paraId="734D904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33 (45.8%)</w:t>
            </w:r>
          </w:p>
        </w:tc>
        <w:tc>
          <w:tcPr>
            <w:tcW w:w="1349" w:type="dxa"/>
            <w:gridSpan w:val="2"/>
            <w:shd w:val="clear" w:color="auto" w:fill="auto"/>
            <w:vAlign w:val="center"/>
          </w:tcPr>
          <w:p w14:paraId="01A4457E"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37 (40.7%)</w:t>
            </w:r>
          </w:p>
        </w:tc>
        <w:tc>
          <w:tcPr>
            <w:tcW w:w="1349" w:type="dxa"/>
            <w:shd w:val="clear" w:color="auto" w:fill="auto"/>
            <w:vAlign w:val="center"/>
          </w:tcPr>
          <w:p w14:paraId="160A9CA9"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24 (47.1%)</w:t>
            </w:r>
          </w:p>
        </w:tc>
        <w:tc>
          <w:tcPr>
            <w:tcW w:w="1265" w:type="dxa"/>
            <w:shd w:val="clear" w:color="auto" w:fill="auto"/>
            <w:vAlign w:val="center"/>
          </w:tcPr>
          <w:p w14:paraId="3028C77A"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46 (51.7%)</w:t>
            </w:r>
          </w:p>
        </w:tc>
        <w:tc>
          <w:tcPr>
            <w:tcW w:w="1349" w:type="dxa"/>
            <w:shd w:val="clear" w:color="auto" w:fill="auto"/>
            <w:vAlign w:val="center"/>
          </w:tcPr>
          <w:p w14:paraId="27796E9F"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140 (46.2%)</w:t>
            </w:r>
          </w:p>
        </w:tc>
        <w:tc>
          <w:tcPr>
            <w:tcW w:w="843" w:type="dxa"/>
            <w:vMerge w:val="restart"/>
            <w:shd w:val="clear" w:color="auto" w:fill="auto"/>
            <w:vAlign w:val="center"/>
          </w:tcPr>
          <w:p w14:paraId="78959D0B" w14:textId="77777777" w:rsidR="008C6BE4" w:rsidRPr="008C6BE4" w:rsidRDefault="008C6BE4" w:rsidP="00ED39AC">
            <w:pPr>
              <w:autoSpaceDE w:val="0"/>
              <w:autoSpaceDN w:val="0"/>
              <w:adjustRightInd w:val="0"/>
              <w:ind w:left="60" w:right="60"/>
              <w:jc w:val="right"/>
              <w:rPr>
                <w:rFonts w:asciiTheme="majorBidi" w:hAnsiTheme="majorBidi" w:cstheme="majorBidi"/>
              </w:rPr>
            </w:pPr>
            <w:r w:rsidRPr="008C6BE4">
              <w:rPr>
                <w:rFonts w:asciiTheme="majorBidi" w:hAnsiTheme="majorBidi" w:cstheme="majorBidi"/>
              </w:rPr>
              <w:t>0.528</w:t>
            </w:r>
          </w:p>
        </w:tc>
      </w:tr>
      <w:tr w:rsidR="008C6BE4" w:rsidRPr="008C6BE4" w14:paraId="1C67C6A9" w14:textId="77777777" w:rsidTr="00A6373F">
        <w:trPr>
          <w:trHeight w:val="321"/>
          <w:jc w:val="center"/>
        </w:trPr>
        <w:tc>
          <w:tcPr>
            <w:tcW w:w="3031" w:type="dxa"/>
            <w:vMerge/>
            <w:shd w:val="clear" w:color="auto" w:fill="auto"/>
            <w:vAlign w:val="center"/>
          </w:tcPr>
          <w:p w14:paraId="5DEF8177" w14:textId="77777777" w:rsidR="008C6BE4" w:rsidRPr="008C6BE4" w:rsidRDefault="008C6BE4" w:rsidP="00ED39AC">
            <w:pPr>
              <w:autoSpaceDE w:val="0"/>
              <w:autoSpaceDN w:val="0"/>
              <w:adjustRightInd w:val="0"/>
              <w:jc w:val="center"/>
              <w:rPr>
                <w:rFonts w:asciiTheme="majorBidi" w:hAnsiTheme="majorBidi" w:cstheme="majorBidi"/>
                <w:b/>
                <w:bCs/>
              </w:rPr>
            </w:pPr>
          </w:p>
        </w:tc>
        <w:tc>
          <w:tcPr>
            <w:tcW w:w="1349" w:type="dxa"/>
            <w:shd w:val="clear" w:color="auto" w:fill="auto"/>
            <w:vAlign w:val="center"/>
          </w:tcPr>
          <w:p w14:paraId="4846A3AC"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39 (54.2%)</w:t>
            </w:r>
          </w:p>
        </w:tc>
        <w:tc>
          <w:tcPr>
            <w:tcW w:w="1349" w:type="dxa"/>
            <w:gridSpan w:val="2"/>
            <w:shd w:val="clear" w:color="auto" w:fill="auto"/>
            <w:vAlign w:val="center"/>
          </w:tcPr>
          <w:p w14:paraId="5901D779"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54 (59.3%)</w:t>
            </w:r>
          </w:p>
        </w:tc>
        <w:tc>
          <w:tcPr>
            <w:tcW w:w="1349" w:type="dxa"/>
            <w:shd w:val="clear" w:color="auto" w:fill="auto"/>
            <w:vAlign w:val="center"/>
          </w:tcPr>
          <w:p w14:paraId="36B41C91"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27 (52.9%)</w:t>
            </w:r>
          </w:p>
        </w:tc>
        <w:tc>
          <w:tcPr>
            <w:tcW w:w="1265" w:type="dxa"/>
            <w:shd w:val="clear" w:color="auto" w:fill="auto"/>
            <w:vAlign w:val="center"/>
          </w:tcPr>
          <w:p w14:paraId="36B8B7D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43 (48.3%)</w:t>
            </w:r>
          </w:p>
        </w:tc>
        <w:tc>
          <w:tcPr>
            <w:tcW w:w="1349" w:type="dxa"/>
            <w:shd w:val="clear" w:color="auto" w:fill="auto"/>
            <w:vAlign w:val="center"/>
          </w:tcPr>
          <w:p w14:paraId="6770E8A0"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163 (53.8%)</w:t>
            </w:r>
          </w:p>
        </w:tc>
        <w:tc>
          <w:tcPr>
            <w:tcW w:w="843" w:type="dxa"/>
            <w:vMerge/>
            <w:shd w:val="clear" w:color="auto" w:fill="auto"/>
            <w:vAlign w:val="center"/>
          </w:tcPr>
          <w:p w14:paraId="71992D32"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0F760339" w14:textId="77777777" w:rsidTr="00A6373F">
        <w:trPr>
          <w:trHeight w:val="321"/>
          <w:jc w:val="center"/>
        </w:trPr>
        <w:tc>
          <w:tcPr>
            <w:tcW w:w="3031" w:type="dxa"/>
            <w:shd w:val="clear" w:color="auto" w:fill="auto"/>
            <w:vAlign w:val="center"/>
          </w:tcPr>
          <w:p w14:paraId="543CFFA9" w14:textId="77777777" w:rsidR="008C6BE4" w:rsidRPr="008C6BE4" w:rsidRDefault="008C6BE4" w:rsidP="00ED39AC">
            <w:pPr>
              <w:autoSpaceDE w:val="0"/>
              <w:autoSpaceDN w:val="0"/>
              <w:adjustRightInd w:val="0"/>
              <w:rPr>
                <w:rFonts w:asciiTheme="majorBidi" w:hAnsiTheme="majorBidi" w:cstheme="majorBidi"/>
                <w:b/>
                <w:bCs/>
              </w:rPr>
            </w:pPr>
            <w:r w:rsidRPr="008C6BE4">
              <w:rPr>
                <w:rFonts w:asciiTheme="majorBidi" w:hAnsiTheme="majorBidi" w:cstheme="majorBidi"/>
                <w:b/>
                <w:bCs/>
              </w:rPr>
              <w:t xml:space="preserve">Age </w:t>
            </w:r>
          </w:p>
        </w:tc>
        <w:tc>
          <w:tcPr>
            <w:tcW w:w="7506" w:type="dxa"/>
            <w:gridSpan w:val="7"/>
            <w:shd w:val="clear" w:color="auto" w:fill="auto"/>
            <w:vAlign w:val="center"/>
          </w:tcPr>
          <w:p w14:paraId="4328CE10" w14:textId="77777777" w:rsidR="008C6BE4" w:rsidRPr="008C6BE4" w:rsidRDefault="008C6BE4" w:rsidP="00ED39AC">
            <w:pPr>
              <w:autoSpaceDE w:val="0"/>
              <w:autoSpaceDN w:val="0"/>
              <w:adjustRightInd w:val="0"/>
              <w:ind w:left="60" w:right="60"/>
              <w:jc w:val="center"/>
              <w:rPr>
                <w:rFonts w:asciiTheme="majorBidi" w:hAnsiTheme="majorBidi" w:cstheme="majorBidi"/>
              </w:rPr>
            </w:pPr>
          </w:p>
        </w:tc>
      </w:tr>
      <w:tr w:rsidR="008C6BE4" w:rsidRPr="008C6BE4" w14:paraId="2060580F" w14:textId="77777777" w:rsidTr="00A6373F">
        <w:trPr>
          <w:trHeight w:val="321"/>
          <w:jc w:val="center"/>
        </w:trPr>
        <w:tc>
          <w:tcPr>
            <w:tcW w:w="3031" w:type="dxa"/>
            <w:shd w:val="clear" w:color="auto" w:fill="auto"/>
            <w:vAlign w:val="center"/>
          </w:tcPr>
          <w:p w14:paraId="3D665928"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50-&lt;60</w:t>
            </w:r>
          </w:p>
        </w:tc>
        <w:tc>
          <w:tcPr>
            <w:tcW w:w="1349" w:type="dxa"/>
            <w:shd w:val="clear" w:color="auto" w:fill="auto"/>
            <w:vAlign w:val="center"/>
          </w:tcPr>
          <w:p w14:paraId="1A7716E5"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19 (26.4%)</w:t>
            </w:r>
          </w:p>
        </w:tc>
        <w:tc>
          <w:tcPr>
            <w:tcW w:w="1349" w:type="dxa"/>
            <w:gridSpan w:val="2"/>
            <w:shd w:val="clear" w:color="auto" w:fill="auto"/>
            <w:vAlign w:val="center"/>
          </w:tcPr>
          <w:p w14:paraId="65B60DF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16 (17.6%)</w:t>
            </w:r>
          </w:p>
        </w:tc>
        <w:tc>
          <w:tcPr>
            <w:tcW w:w="1349" w:type="dxa"/>
            <w:shd w:val="clear" w:color="auto" w:fill="auto"/>
            <w:vAlign w:val="center"/>
          </w:tcPr>
          <w:p w14:paraId="14433845"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10 (19.6%)</w:t>
            </w:r>
          </w:p>
        </w:tc>
        <w:tc>
          <w:tcPr>
            <w:tcW w:w="1265" w:type="dxa"/>
            <w:shd w:val="clear" w:color="auto" w:fill="auto"/>
            <w:vAlign w:val="center"/>
          </w:tcPr>
          <w:p w14:paraId="71D2599F"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12 (13.5%)</w:t>
            </w:r>
          </w:p>
        </w:tc>
        <w:tc>
          <w:tcPr>
            <w:tcW w:w="1349" w:type="dxa"/>
            <w:shd w:val="clear" w:color="auto" w:fill="auto"/>
            <w:vAlign w:val="center"/>
          </w:tcPr>
          <w:p w14:paraId="2DC52F8F"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57 (18.8%)</w:t>
            </w:r>
          </w:p>
        </w:tc>
        <w:tc>
          <w:tcPr>
            <w:tcW w:w="843" w:type="dxa"/>
            <w:vMerge w:val="restart"/>
            <w:shd w:val="clear" w:color="auto" w:fill="auto"/>
            <w:vAlign w:val="center"/>
          </w:tcPr>
          <w:p w14:paraId="00BE521A" w14:textId="77777777" w:rsidR="008C6BE4" w:rsidRPr="008C6BE4" w:rsidRDefault="008C6BE4" w:rsidP="00ED39AC">
            <w:pPr>
              <w:autoSpaceDE w:val="0"/>
              <w:autoSpaceDN w:val="0"/>
              <w:adjustRightInd w:val="0"/>
              <w:ind w:left="60" w:right="60"/>
              <w:jc w:val="right"/>
              <w:rPr>
                <w:rFonts w:asciiTheme="majorBidi" w:hAnsiTheme="majorBidi" w:cstheme="majorBidi"/>
              </w:rPr>
            </w:pPr>
            <w:r w:rsidRPr="008C6BE4">
              <w:rPr>
                <w:rFonts w:asciiTheme="majorBidi" w:hAnsiTheme="majorBidi" w:cstheme="majorBidi"/>
              </w:rPr>
              <w:t>0.265</w:t>
            </w:r>
          </w:p>
        </w:tc>
      </w:tr>
      <w:tr w:rsidR="008C6BE4" w:rsidRPr="008C6BE4" w14:paraId="390983B5" w14:textId="77777777" w:rsidTr="00A6373F">
        <w:trPr>
          <w:trHeight w:val="321"/>
          <w:jc w:val="center"/>
        </w:trPr>
        <w:tc>
          <w:tcPr>
            <w:tcW w:w="3031" w:type="dxa"/>
            <w:shd w:val="clear" w:color="auto" w:fill="auto"/>
            <w:vAlign w:val="center"/>
          </w:tcPr>
          <w:p w14:paraId="2B1EFC29"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60-&lt;70</w:t>
            </w:r>
          </w:p>
        </w:tc>
        <w:tc>
          <w:tcPr>
            <w:tcW w:w="1349" w:type="dxa"/>
            <w:shd w:val="clear" w:color="auto" w:fill="auto"/>
            <w:vAlign w:val="center"/>
          </w:tcPr>
          <w:p w14:paraId="5EBC858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39 (54.2%)</w:t>
            </w:r>
          </w:p>
        </w:tc>
        <w:tc>
          <w:tcPr>
            <w:tcW w:w="1349" w:type="dxa"/>
            <w:gridSpan w:val="2"/>
            <w:shd w:val="clear" w:color="auto" w:fill="auto"/>
            <w:vAlign w:val="center"/>
          </w:tcPr>
          <w:p w14:paraId="015B58F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61 (67.0%)</w:t>
            </w:r>
          </w:p>
        </w:tc>
        <w:tc>
          <w:tcPr>
            <w:tcW w:w="1349" w:type="dxa"/>
            <w:shd w:val="clear" w:color="auto" w:fill="auto"/>
            <w:vAlign w:val="center"/>
          </w:tcPr>
          <w:p w14:paraId="2870871F"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35 (68.6%)</w:t>
            </w:r>
          </w:p>
        </w:tc>
        <w:tc>
          <w:tcPr>
            <w:tcW w:w="1265" w:type="dxa"/>
            <w:shd w:val="clear" w:color="auto" w:fill="auto"/>
            <w:vAlign w:val="center"/>
          </w:tcPr>
          <w:p w14:paraId="7FFC7B1D"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61 (68.5%)</w:t>
            </w:r>
          </w:p>
        </w:tc>
        <w:tc>
          <w:tcPr>
            <w:tcW w:w="1349" w:type="dxa"/>
            <w:shd w:val="clear" w:color="auto" w:fill="auto"/>
            <w:vAlign w:val="center"/>
          </w:tcPr>
          <w:p w14:paraId="140BFE7D"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196 (64.7%)</w:t>
            </w:r>
          </w:p>
        </w:tc>
        <w:tc>
          <w:tcPr>
            <w:tcW w:w="843" w:type="dxa"/>
            <w:vMerge/>
            <w:shd w:val="clear" w:color="auto" w:fill="auto"/>
            <w:vAlign w:val="center"/>
          </w:tcPr>
          <w:p w14:paraId="2B2EAF58"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236C2BB5" w14:textId="77777777" w:rsidTr="00A6373F">
        <w:trPr>
          <w:trHeight w:val="321"/>
          <w:jc w:val="center"/>
        </w:trPr>
        <w:tc>
          <w:tcPr>
            <w:tcW w:w="3031" w:type="dxa"/>
            <w:shd w:val="clear" w:color="auto" w:fill="auto"/>
            <w:vAlign w:val="center"/>
          </w:tcPr>
          <w:p w14:paraId="3D0E8E32"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70-&lt;80</w:t>
            </w:r>
          </w:p>
        </w:tc>
        <w:tc>
          <w:tcPr>
            <w:tcW w:w="1349" w:type="dxa"/>
            <w:shd w:val="clear" w:color="auto" w:fill="auto"/>
            <w:vAlign w:val="center"/>
          </w:tcPr>
          <w:p w14:paraId="7271ED07"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12 (16.7%)</w:t>
            </w:r>
          </w:p>
        </w:tc>
        <w:tc>
          <w:tcPr>
            <w:tcW w:w="1349" w:type="dxa"/>
            <w:gridSpan w:val="2"/>
            <w:shd w:val="clear" w:color="auto" w:fill="auto"/>
            <w:vAlign w:val="center"/>
          </w:tcPr>
          <w:p w14:paraId="179F0FB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13 (14.3%)</w:t>
            </w:r>
          </w:p>
        </w:tc>
        <w:tc>
          <w:tcPr>
            <w:tcW w:w="1349" w:type="dxa"/>
            <w:shd w:val="clear" w:color="auto" w:fill="auto"/>
            <w:vAlign w:val="center"/>
          </w:tcPr>
          <w:p w14:paraId="4C2AC82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 (11.8%)</w:t>
            </w:r>
          </w:p>
        </w:tc>
        <w:tc>
          <w:tcPr>
            <w:tcW w:w="1265" w:type="dxa"/>
            <w:shd w:val="clear" w:color="auto" w:fill="auto"/>
            <w:vAlign w:val="center"/>
          </w:tcPr>
          <w:p w14:paraId="204D76D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11 (12.4%)</w:t>
            </w:r>
          </w:p>
        </w:tc>
        <w:tc>
          <w:tcPr>
            <w:tcW w:w="1349" w:type="dxa"/>
            <w:shd w:val="clear" w:color="auto" w:fill="auto"/>
            <w:vAlign w:val="center"/>
          </w:tcPr>
          <w:p w14:paraId="56D57E9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42 (13.9%)</w:t>
            </w:r>
          </w:p>
        </w:tc>
        <w:tc>
          <w:tcPr>
            <w:tcW w:w="843" w:type="dxa"/>
            <w:vMerge/>
            <w:shd w:val="clear" w:color="auto" w:fill="auto"/>
            <w:vAlign w:val="center"/>
          </w:tcPr>
          <w:p w14:paraId="5766F259"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1D5266CA" w14:textId="77777777" w:rsidTr="00A6373F">
        <w:trPr>
          <w:trHeight w:val="321"/>
          <w:jc w:val="center"/>
        </w:trPr>
        <w:tc>
          <w:tcPr>
            <w:tcW w:w="3031" w:type="dxa"/>
            <w:shd w:val="clear" w:color="auto" w:fill="auto"/>
            <w:vAlign w:val="center"/>
          </w:tcPr>
          <w:p w14:paraId="07D57D66"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&gt;=80</w:t>
            </w:r>
          </w:p>
        </w:tc>
        <w:tc>
          <w:tcPr>
            <w:tcW w:w="1349" w:type="dxa"/>
            <w:shd w:val="clear" w:color="auto" w:fill="auto"/>
            <w:vAlign w:val="center"/>
          </w:tcPr>
          <w:p w14:paraId="24385FD7"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 (2.8%)</w:t>
            </w:r>
          </w:p>
        </w:tc>
        <w:tc>
          <w:tcPr>
            <w:tcW w:w="1349" w:type="dxa"/>
            <w:gridSpan w:val="2"/>
            <w:shd w:val="clear" w:color="auto" w:fill="auto"/>
            <w:vAlign w:val="center"/>
          </w:tcPr>
          <w:p w14:paraId="21C16DE9"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 (1.1%)</w:t>
            </w:r>
          </w:p>
        </w:tc>
        <w:tc>
          <w:tcPr>
            <w:tcW w:w="1349" w:type="dxa"/>
            <w:shd w:val="clear" w:color="auto" w:fill="auto"/>
            <w:vAlign w:val="center"/>
          </w:tcPr>
          <w:p w14:paraId="14A23CF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265" w:type="dxa"/>
            <w:shd w:val="clear" w:color="auto" w:fill="auto"/>
            <w:vAlign w:val="center"/>
          </w:tcPr>
          <w:p w14:paraId="2F09A7D9"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 (5.6%)</w:t>
            </w:r>
          </w:p>
        </w:tc>
        <w:tc>
          <w:tcPr>
            <w:tcW w:w="1349" w:type="dxa"/>
            <w:shd w:val="clear" w:color="auto" w:fill="auto"/>
            <w:vAlign w:val="center"/>
          </w:tcPr>
          <w:p w14:paraId="2078FAB0"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8 (2.6%)</w:t>
            </w:r>
          </w:p>
        </w:tc>
        <w:tc>
          <w:tcPr>
            <w:tcW w:w="843" w:type="dxa"/>
            <w:vMerge/>
            <w:shd w:val="clear" w:color="auto" w:fill="auto"/>
            <w:vAlign w:val="center"/>
          </w:tcPr>
          <w:p w14:paraId="5C35F705"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7F87F406" w14:textId="77777777" w:rsidTr="00A6373F">
        <w:trPr>
          <w:trHeight w:val="321"/>
          <w:jc w:val="center"/>
        </w:trPr>
        <w:tc>
          <w:tcPr>
            <w:tcW w:w="3031" w:type="dxa"/>
            <w:shd w:val="clear" w:color="auto" w:fill="auto"/>
            <w:vAlign w:val="center"/>
          </w:tcPr>
          <w:p w14:paraId="7D3E2367" w14:textId="77777777" w:rsidR="008C6BE4" w:rsidRPr="008C6BE4" w:rsidRDefault="008C6BE4" w:rsidP="00ED39AC">
            <w:pPr>
              <w:autoSpaceDE w:val="0"/>
              <w:autoSpaceDN w:val="0"/>
              <w:adjustRightInd w:val="0"/>
              <w:rPr>
                <w:rFonts w:asciiTheme="majorBidi" w:hAnsiTheme="majorBidi" w:cstheme="majorBidi"/>
                <w:b/>
                <w:bCs/>
              </w:rPr>
            </w:pPr>
            <w:r w:rsidRPr="008C6BE4">
              <w:rPr>
                <w:rFonts w:asciiTheme="majorBidi" w:hAnsiTheme="majorBidi" w:cstheme="majorBidi"/>
                <w:b/>
                <w:bCs/>
              </w:rPr>
              <w:t>BARS</w:t>
            </w:r>
          </w:p>
        </w:tc>
        <w:tc>
          <w:tcPr>
            <w:tcW w:w="7506" w:type="dxa"/>
            <w:gridSpan w:val="7"/>
            <w:shd w:val="clear" w:color="auto" w:fill="auto"/>
            <w:vAlign w:val="center"/>
          </w:tcPr>
          <w:p w14:paraId="53E12652" w14:textId="77777777" w:rsidR="008C6BE4" w:rsidRPr="008C6BE4" w:rsidRDefault="008C6BE4" w:rsidP="00ED39AC">
            <w:pPr>
              <w:autoSpaceDE w:val="0"/>
              <w:autoSpaceDN w:val="0"/>
              <w:adjustRightInd w:val="0"/>
              <w:ind w:left="60" w:right="60"/>
              <w:jc w:val="center"/>
              <w:rPr>
                <w:rFonts w:asciiTheme="majorBidi" w:hAnsiTheme="majorBidi" w:cstheme="majorBidi"/>
              </w:rPr>
            </w:pPr>
          </w:p>
        </w:tc>
      </w:tr>
      <w:tr w:rsidR="008C6BE4" w:rsidRPr="008C6BE4" w14:paraId="582BAC63" w14:textId="77777777" w:rsidTr="00A6373F">
        <w:trPr>
          <w:trHeight w:val="321"/>
          <w:jc w:val="center"/>
        </w:trPr>
        <w:tc>
          <w:tcPr>
            <w:tcW w:w="3031" w:type="dxa"/>
            <w:shd w:val="clear" w:color="auto" w:fill="auto"/>
            <w:vAlign w:val="center"/>
          </w:tcPr>
          <w:p w14:paraId="1DA97B06"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25%-&lt;50%</w:t>
            </w:r>
          </w:p>
        </w:tc>
        <w:tc>
          <w:tcPr>
            <w:tcW w:w="1349" w:type="dxa"/>
            <w:shd w:val="clear" w:color="auto" w:fill="auto"/>
            <w:vAlign w:val="center"/>
          </w:tcPr>
          <w:p w14:paraId="09E15DF0"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72 (100.0%)</w:t>
            </w:r>
          </w:p>
        </w:tc>
        <w:tc>
          <w:tcPr>
            <w:tcW w:w="1349" w:type="dxa"/>
            <w:gridSpan w:val="2"/>
            <w:shd w:val="clear" w:color="auto" w:fill="auto"/>
            <w:vAlign w:val="center"/>
          </w:tcPr>
          <w:p w14:paraId="25DD81FA"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349" w:type="dxa"/>
            <w:shd w:val="clear" w:color="auto" w:fill="auto"/>
            <w:vAlign w:val="center"/>
          </w:tcPr>
          <w:p w14:paraId="3DD019B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51 (100.0%)</w:t>
            </w:r>
          </w:p>
        </w:tc>
        <w:tc>
          <w:tcPr>
            <w:tcW w:w="1265" w:type="dxa"/>
            <w:shd w:val="clear" w:color="auto" w:fill="auto"/>
            <w:vAlign w:val="center"/>
          </w:tcPr>
          <w:p w14:paraId="7377E077"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349" w:type="dxa"/>
            <w:shd w:val="clear" w:color="auto" w:fill="auto"/>
            <w:vAlign w:val="center"/>
          </w:tcPr>
          <w:p w14:paraId="58EB24A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123 (40.6%)</w:t>
            </w:r>
          </w:p>
        </w:tc>
        <w:tc>
          <w:tcPr>
            <w:tcW w:w="843" w:type="dxa"/>
            <w:vMerge w:val="restart"/>
            <w:shd w:val="clear" w:color="auto" w:fill="auto"/>
            <w:vAlign w:val="center"/>
          </w:tcPr>
          <w:p w14:paraId="4FE9D20A" w14:textId="77777777" w:rsidR="008C6BE4" w:rsidRPr="008C6BE4" w:rsidRDefault="008C6BE4" w:rsidP="00ED39AC">
            <w:pPr>
              <w:autoSpaceDE w:val="0"/>
              <w:autoSpaceDN w:val="0"/>
              <w:adjustRightInd w:val="0"/>
              <w:ind w:left="60" w:right="60"/>
              <w:jc w:val="right"/>
              <w:rPr>
                <w:rFonts w:asciiTheme="majorBidi" w:hAnsiTheme="majorBidi" w:cstheme="majorBidi"/>
              </w:rPr>
            </w:pPr>
            <w:r w:rsidRPr="008C6BE4">
              <w:rPr>
                <w:rFonts w:asciiTheme="majorBidi" w:hAnsiTheme="majorBidi" w:cstheme="majorBidi"/>
              </w:rPr>
              <w:t>0.000</w:t>
            </w:r>
          </w:p>
        </w:tc>
      </w:tr>
      <w:tr w:rsidR="008C6BE4" w:rsidRPr="008C6BE4" w14:paraId="02AA7D78" w14:textId="77777777" w:rsidTr="00A6373F">
        <w:trPr>
          <w:trHeight w:val="321"/>
          <w:jc w:val="center"/>
        </w:trPr>
        <w:tc>
          <w:tcPr>
            <w:tcW w:w="3031" w:type="dxa"/>
            <w:shd w:val="clear" w:color="auto" w:fill="auto"/>
            <w:vAlign w:val="center"/>
          </w:tcPr>
          <w:p w14:paraId="1E813B3E"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50%-&lt;75%</w:t>
            </w:r>
          </w:p>
        </w:tc>
        <w:tc>
          <w:tcPr>
            <w:tcW w:w="1349" w:type="dxa"/>
            <w:shd w:val="clear" w:color="auto" w:fill="auto"/>
            <w:vAlign w:val="center"/>
          </w:tcPr>
          <w:p w14:paraId="5ECA74DD"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349" w:type="dxa"/>
            <w:gridSpan w:val="2"/>
            <w:shd w:val="clear" w:color="auto" w:fill="auto"/>
            <w:vAlign w:val="center"/>
          </w:tcPr>
          <w:p w14:paraId="17F23D1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45 (49.5%)</w:t>
            </w:r>
          </w:p>
        </w:tc>
        <w:tc>
          <w:tcPr>
            <w:tcW w:w="1349" w:type="dxa"/>
            <w:shd w:val="clear" w:color="auto" w:fill="auto"/>
            <w:vAlign w:val="center"/>
          </w:tcPr>
          <w:p w14:paraId="431E9065"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265" w:type="dxa"/>
            <w:shd w:val="clear" w:color="auto" w:fill="auto"/>
            <w:vAlign w:val="center"/>
          </w:tcPr>
          <w:p w14:paraId="069641E5"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58 (65.2%)</w:t>
            </w:r>
          </w:p>
        </w:tc>
        <w:tc>
          <w:tcPr>
            <w:tcW w:w="1349" w:type="dxa"/>
            <w:shd w:val="clear" w:color="auto" w:fill="auto"/>
            <w:vAlign w:val="center"/>
          </w:tcPr>
          <w:p w14:paraId="4D6AA171"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103 (34.0%)</w:t>
            </w:r>
          </w:p>
        </w:tc>
        <w:tc>
          <w:tcPr>
            <w:tcW w:w="843" w:type="dxa"/>
            <w:vMerge/>
            <w:shd w:val="clear" w:color="auto" w:fill="auto"/>
            <w:vAlign w:val="center"/>
          </w:tcPr>
          <w:p w14:paraId="0EC04F2F"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6C651C3B" w14:textId="77777777" w:rsidTr="00A6373F">
        <w:trPr>
          <w:trHeight w:val="321"/>
          <w:jc w:val="center"/>
        </w:trPr>
        <w:tc>
          <w:tcPr>
            <w:tcW w:w="3031" w:type="dxa"/>
            <w:shd w:val="clear" w:color="auto" w:fill="auto"/>
            <w:vAlign w:val="center"/>
          </w:tcPr>
          <w:p w14:paraId="619C0B54"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&gt;=75%</w:t>
            </w:r>
          </w:p>
        </w:tc>
        <w:tc>
          <w:tcPr>
            <w:tcW w:w="1349" w:type="dxa"/>
            <w:shd w:val="clear" w:color="auto" w:fill="auto"/>
            <w:vAlign w:val="center"/>
          </w:tcPr>
          <w:p w14:paraId="3A6B923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349" w:type="dxa"/>
            <w:gridSpan w:val="2"/>
            <w:shd w:val="clear" w:color="auto" w:fill="auto"/>
            <w:vAlign w:val="center"/>
          </w:tcPr>
          <w:p w14:paraId="4BD48299"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46 (50.5%)</w:t>
            </w:r>
          </w:p>
        </w:tc>
        <w:tc>
          <w:tcPr>
            <w:tcW w:w="1349" w:type="dxa"/>
            <w:shd w:val="clear" w:color="auto" w:fill="auto"/>
            <w:vAlign w:val="center"/>
          </w:tcPr>
          <w:p w14:paraId="32A2F9C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0 (0.0%)</w:t>
            </w:r>
          </w:p>
        </w:tc>
        <w:tc>
          <w:tcPr>
            <w:tcW w:w="1265" w:type="dxa"/>
            <w:shd w:val="clear" w:color="auto" w:fill="auto"/>
            <w:vAlign w:val="center"/>
          </w:tcPr>
          <w:p w14:paraId="31552B19"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31 (34.8%)</w:t>
            </w:r>
          </w:p>
        </w:tc>
        <w:tc>
          <w:tcPr>
            <w:tcW w:w="1349" w:type="dxa"/>
            <w:shd w:val="clear" w:color="auto" w:fill="auto"/>
            <w:vAlign w:val="center"/>
          </w:tcPr>
          <w:p w14:paraId="2B6335D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77 (25.4%)</w:t>
            </w:r>
          </w:p>
        </w:tc>
        <w:tc>
          <w:tcPr>
            <w:tcW w:w="843" w:type="dxa"/>
            <w:vMerge/>
            <w:shd w:val="clear" w:color="auto" w:fill="auto"/>
            <w:vAlign w:val="center"/>
          </w:tcPr>
          <w:p w14:paraId="1814AE08"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6880B92E" w14:textId="77777777" w:rsidTr="00A6373F">
        <w:trPr>
          <w:trHeight w:val="321"/>
          <w:jc w:val="center"/>
        </w:trPr>
        <w:tc>
          <w:tcPr>
            <w:tcW w:w="3031" w:type="dxa"/>
            <w:shd w:val="clear" w:color="auto" w:fill="auto"/>
            <w:vAlign w:val="center"/>
          </w:tcPr>
          <w:p w14:paraId="7DF8ED87" w14:textId="77777777" w:rsidR="008C6BE4" w:rsidRPr="008C6BE4" w:rsidRDefault="008C6BE4" w:rsidP="00ED39AC">
            <w:pPr>
              <w:autoSpaceDE w:val="0"/>
              <w:autoSpaceDN w:val="0"/>
              <w:adjustRightInd w:val="0"/>
              <w:rPr>
                <w:rFonts w:asciiTheme="majorBidi" w:hAnsiTheme="majorBidi" w:cstheme="majorBidi"/>
                <w:b/>
                <w:bCs/>
              </w:rPr>
            </w:pPr>
            <w:r w:rsidRPr="008C6BE4">
              <w:rPr>
                <w:rFonts w:asciiTheme="majorBidi" w:hAnsiTheme="majorBidi" w:cstheme="majorBidi"/>
                <w:b/>
                <w:bCs/>
              </w:rPr>
              <w:lastRenderedPageBreak/>
              <w:t>% Δ Positive Domain</w:t>
            </w:r>
          </w:p>
        </w:tc>
        <w:tc>
          <w:tcPr>
            <w:tcW w:w="7506" w:type="dxa"/>
            <w:gridSpan w:val="7"/>
            <w:shd w:val="clear" w:color="auto" w:fill="auto"/>
            <w:vAlign w:val="center"/>
          </w:tcPr>
          <w:p w14:paraId="51BD5C09"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74B704ED" w14:textId="77777777" w:rsidTr="00A6373F">
        <w:trPr>
          <w:trHeight w:val="321"/>
          <w:jc w:val="center"/>
        </w:trPr>
        <w:tc>
          <w:tcPr>
            <w:tcW w:w="3031" w:type="dxa"/>
            <w:shd w:val="clear" w:color="auto" w:fill="auto"/>
            <w:vAlign w:val="center"/>
          </w:tcPr>
          <w:p w14:paraId="2D4D19D7"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Un-Responsiveness</w:t>
            </w:r>
          </w:p>
        </w:tc>
        <w:tc>
          <w:tcPr>
            <w:tcW w:w="1349" w:type="dxa"/>
            <w:shd w:val="clear" w:color="auto" w:fill="auto"/>
            <w:vAlign w:val="center"/>
          </w:tcPr>
          <w:p w14:paraId="01E517D0"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9 (12.5%)</w:t>
            </w:r>
          </w:p>
        </w:tc>
        <w:tc>
          <w:tcPr>
            <w:tcW w:w="1349" w:type="dxa"/>
            <w:gridSpan w:val="2"/>
            <w:shd w:val="clear" w:color="auto" w:fill="auto"/>
            <w:vAlign w:val="center"/>
          </w:tcPr>
          <w:p w14:paraId="4CCF3DB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7 (7.7%)</w:t>
            </w:r>
          </w:p>
        </w:tc>
        <w:tc>
          <w:tcPr>
            <w:tcW w:w="1349" w:type="dxa"/>
            <w:shd w:val="clear" w:color="auto" w:fill="auto"/>
            <w:vAlign w:val="center"/>
          </w:tcPr>
          <w:p w14:paraId="457F3CF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18 (35.3%)</w:t>
            </w:r>
          </w:p>
        </w:tc>
        <w:tc>
          <w:tcPr>
            <w:tcW w:w="1265" w:type="dxa"/>
            <w:shd w:val="clear" w:color="auto" w:fill="auto"/>
            <w:vAlign w:val="center"/>
          </w:tcPr>
          <w:p w14:paraId="3D52DC5F"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29 (32.6%)</w:t>
            </w:r>
          </w:p>
        </w:tc>
        <w:tc>
          <w:tcPr>
            <w:tcW w:w="1349" w:type="dxa"/>
            <w:shd w:val="clear" w:color="auto" w:fill="auto"/>
            <w:vAlign w:val="center"/>
          </w:tcPr>
          <w:p w14:paraId="2EDD0008"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63 (20.8%)</w:t>
            </w:r>
          </w:p>
        </w:tc>
        <w:tc>
          <w:tcPr>
            <w:tcW w:w="843" w:type="dxa"/>
            <w:vMerge w:val="restart"/>
            <w:shd w:val="clear" w:color="auto" w:fill="auto"/>
            <w:vAlign w:val="center"/>
          </w:tcPr>
          <w:p w14:paraId="6F56EC60" w14:textId="77777777" w:rsidR="008C6BE4" w:rsidRPr="008C6BE4" w:rsidRDefault="008C6BE4" w:rsidP="00ED39AC">
            <w:pPr>
              <w:autoSpaceDE w:val="0"/>
              <w:autoSpaceDN w:val="0"/>
              <w:adjustRightInd w:val="0"/>
              <w:ind w:left="60" w:right="60"/>
              <w:jc w:val="right"/>
              <w:rPr>
                <w:rFonts w:asciiTheme="majorBidi" w:hAnsiTheme="majorBidi" w:cstheme="majorBidi"/>
              </w:rPr>
            </w:pPr>
            <w:r w:rsidRPr="008C6BE4">
              <w:rPr>
                <w:rFonts w:asciiTheme="majorBidi" w:hAnsiTheme="majorBidi" w:cstheme="majorBidi"/>
              </w:rPr>
              <w:t>0.000</w:t>
            </w:r>
          </w:p>
        </w:tc>
      </w:tr>
      <w:tr w:rsidR="008C6BE4" w:rsidRPr="008C6BE4" w14:paraId="6BF3E26E" w14:textId="77777777" w:rsidTr="00A6373F">
        <w:trPr>
          <w:trHeight w:val="321"/>
          <w:jc w:val="center"/>
        </w:trPr>
        <w:tc>
          <w:tcPr>
            <w:tcW w:w="3031" w:type="dxa"/>
            <w:shd w:val="clear" w:color="auto" w:fill="auto"/>
            <w:vAlign w:val="center"/>
          </w:tcPr>
          <w:p w14:paraId="2C44E139"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Responsiveness</w:t>
            </w:r>
          </w:p>
        </w:tc>
        <w:tc>
          <w:tcPr>
            <w:tcW w:w="1349" w:type="dxa"/>
            <w:shd w:val="clear" w:color="auto" w:fill="auto"/>
            <w:vAlign w:val="center"/>
          </w:tcPr>
          <w:p w14:paraId="69811B8D"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63 (87.5%)</w:t>
            </w:r>
          </w:p>
        </w:tc>
        <w:tc>
          <w:tcPr>
            <w:tcW w:w="1349" w:type="dxa"/>
            <w:gridSpan w:val="2"/>
            <w:shd w:val="clear" w:color="auto" w:fill="auto"/>
            <w:vAlign w:val="center"/>
          </w:tcPr>
          <w:p w14:paraId="190AD3E1"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84 (92.3%)</w:t>
            </w:r>
          </w:p>
        </w:tc>
        <w:tc>
          <w:tcPr>
            <w:tcW w:w="1349" w:type="dxa"/>
            <w:shd w:val="clear" w:color="auto" w:fill="auto"/>
            <w:vAlign w:val="center"/>
          </w:tcPr>
          <w:p w14:paraId="4F6F288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33 (64.7%)</w:t>
            </w:r>
          </w:p>
        </w:tc>
        <w:tc>
          <w:tcPr>
            <w:tcW w:w="1265" w:type="dxa"/>
            <w:shd w:val="clear" w:color="auto" w:fill="auto"/>
            <w:vAlign w:val="center"/>
          </w:tcPr>
          <w:p w14:paraId="7673331C"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60 (67.4%)</w:t>
            </w:r>
          </w:p>
        </w:tc>
        <w:tc>
          <w:tcPr>
            <w:tcW w:w="1349" w:type="dxa"/>
            <w:shd w:val="clear" w:color="auto" w:fill="auto"/>
            <w:vAlign w:val="center"/>
          </w:tcPr>
          <w:p w14:paraId="3C7CB87A"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240 (79.2%)</w:t>
            </w:r>
          </w:p>
        </w:tc>
        <w:tc>
          <w:tcPr>
            <w:tcW w:w="843" w:type="dxa"/>
            <w:vMerge/>
            <w:shd w:val="clear" w:color="auto" w:fill="auto"/>
            <w:vAlign w:val="center"/>
          </w:tcPr>
          <w:p w14:paraId="17BDEB2D"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760EA73D" w14:textId="77777777" w:rsidTr="00A6373F">
        <w:trPr>
          <w:trHeight w:val="321"/>
          <w:jc w:val="center"/>
        </w:trPr>
        <w:tc>
          <w:tcPr>
            <w:tcW w:w="3031" w:type="dxa"/>
            <w:shd w:val="clear" w:color="auto" w:fill="auto"/>
            <w:vAlign w:val="center"/>
          </w:tcPr>
          <w:p w14:paraId="064281F0" w14:textId="77777777" w:rsidR="008C6BE4" w:rsidRPr="008C6BE4" w:rsidRDefault="008C6BE4" w:rsidP="00ED39AC">
            <w:pPr>
              <w:autoSpaceDE w:val="0"/>
              <w:autoSpaceDN w:val="0"/>
              <w:adjustRightInd w:val="0"/>
              <w:rPr>
                <w:rFonts w:asciiTheme="majorBidi" w:hAnsiTheme="majorBidi" w:cstheme="majorBidi"/>
                <w:b/>
                <w:bCs/>
              </w:rPr>
            </w:pPr>
            <w:r w:rsidRPr="008C6BE4">
              <w:rPr>
                <w:rFonts w:asciiTheme="majorBidi" w:hAnsiTheme="majorBidi" w:cstheme="majorBidi"/>
                <w:b/>
                <w:bCs/>
              </w:rPr>
              <w:t>% Δ Negative Domain</w:t>
            </w:r>
          </w:p>
        </w:tc>
        <w:tc>
          <w:tcPr>
            <w:tcW w:w="7506" w:type="dxa"/>
            <w:gridSpan w:val="7"/>
            <w:shd w:val="clear" w:color="auto" w:fill="auto"/>
            <w:vAlign w:val="center"/>
          </w:tcPr>
          <w:p w14:paraId="407F7DEC"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1B81BD51" w14:textId="77777777" w:rsidTr="00A6373F">
        <w:trPr>
          <w:trHeight w:val="321"/>
          <w:jc w:val="center"/>
        </w:trPr>
        <w:tc>
          <w:tcPr>
            <w:tcW w:w="3031" w:type="dxa"/>
            <w:shd w:val="clear" w:color="auto" w:fill="auto"/>
            <w:vAlign w:val="center"/>
          </w:tcPr>
          <w:p w14:paraId="2B32CD91"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Un-Responsiveness</w:t>
            </w:r>
          </w:p>
        </w:tc>
        <w:tc>
          <w:tcPr>
            <w:tcW w:w="1349" w:type="dxa"/>
            <w:shd w:val="clear" w:color="auto" w:fill="auto"/>
            <w:vAlign w:val="center"/>
          </w:tcPr>
          <w:p w14:paraId="5704F7A2"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47 (65.3%)</w:t>
            </w:r>
          </w:p>
        </w:tc>
        <w:tc>
          <w:tcPr>
            <w:tcW w:w="1349" w:type="dxa"/>
            <w:gridSpan w:val="2"/>
            <w:shd w:val="clear" w:color="auto" w:fill="auto"/>
            <w:vAlign w:val="center"/>
          </w:tcPr>
          <w:p w14:paraId="749CF86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50 (54.9%)</w:t>
            </w:r>
          </w:p>
        </w:tc>
        <w:tc>
          <w:tcPr>
            <w:tcW w:w="1349" w:type="dxa"/>
            <w:shd w:val="clear" w:color="auto" w:fill="auto"/>
            <w:vAlign w:val="center"/>
          </w:tcPr>
          <w:p w14:paraId="44F1D571"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29 (56.9%)</w:t>
            </w:r>
          </w:p>
        </w:tc>
        <w:tc>
          <w:tcPr>
            <w:tcW w:w="1265" w:type="dxa"/>
            <w:shd w:val="clear" w:color="auto" w:fill="auto"/>
            <w:vAlign w:val="center"/>
          </w:tcPr>
          <w:p w14:paraId="0C96240D"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54 (60.7%)</w:t>
            </w:r>
          </w:p>
        </w:tc>
        <w:tc>
          <w:tcPr>
            <w:tcW w:w="1349" w:type="dxa"/>
            <w:shd w:val="clear" w:color="auto" w:fill="auto"/>
            <w:vAlign w:val="center"/>
          </w:tcPr>
          <w:p w14:paraId="76F1AB9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180 (59.4%)</w:t>
            </w:r>
          </w:p>
        </w:tc>
        <w:tc>
          <w:tcPr>
            <w:tcW w:w="843" w:type="dxa"/>
            <w:vMerge w:val="restart"/>
            <w:shd w:val="clear" w:color="auto" w:fill="auto"/>
            <w:vAlign w:val="center"/>
          </w:tcPr>
          <w:p w14:paraId="3050816B" w14:textId="77777777" w:rsidR="008C6BE4" w:rsidRPr="008C6BE4" w:rsidRDefault="008C6BE4" w:rsidP="00ED39AC">
            <w:pPr>
              <w:autoSpaceDE w:val="0"/>
              <w:autoSpaceDN w:val="0"/>
              <w:adjustRightInd w:val="0"/>
              <w:ind w:left="60" w:right="60"/>
              <w:jc w:val="right"/>
              <w:rPr>
                <w:rFonts w:asciiTheme="majorBidi" w:hAnsiTheme="majorBidi" w:cstheme="majorBidi"/>
              </w:rPr>
            </w:pPr>
            <w:r w:rsidRPr="008C6BE4">
              <w:rPr>
                <w:rFonts w:asciiTheme="majorBidi" w:hAnsiTheme="majorBidi" w:cstheme="majorBidi"/>
              </w:rPr>
              <w:t>0.577</w:t>
            </w:r>
          </w:p>
        </w:tc>
      </w:tr>
      <w:tr w:rsidR="008C6BE4" w:rsidRPr="008C6BE4" w14:paraId="590F2C5A" w14:textId="77777777" w:rsidTr="00A6373F">
        <w:trPr>
          <w:trHeight w:val="321"/>
          <w:jc w:val="center"/>
        </w:trPr>
        <w:tc>
          <w:tcPr>
            <w:tcW w:w="3031" w:type="dxa"/>
            <w:shd w:val="clear" w:color="auto" w:fill="auto"/>
            <w:vAlign w:val="center"/>
          </w:tcPr>
          <w:p w14:paraId="5B487EED"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Responsiveness</w:t>
            </w:r>
          </w:p>
        </w:tc>
        <w:tc>
          <w:tcPr>
            <w:tcW w:w="1349" w:type="dxa"/>
            <w:shd w:val="clear" w:color="auto" w:fill="auto"/>
            <w:vAlign w:val="center"/>
          </w:tcPr>
          <w:p w14:paraId="073A344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25 (34.7%)</w:t>
            </w:r>
          </w:p>
        </w:tc>
        <w:tc>
          <w:tcPr>
            <w:tcW w:w="1349" w:type="dxa"/>
            <w:gridSpan w:val="2"/>
            <w:shd w:val="clear" w:color="auto" w:fill="auto"/>
            <w:vAlign w:val="center"/>
          </w:tcPr>
          <w:p w14:paraId="5EF423AA"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41 (45.1%)</w:t>
            </w:r>
          </w:p>
        </w:tc>
        <w:tc>
          <w:tcPr>
            <w:tcW w:w="1349" w:type="dxa"/>
            <w:shd w:val="clear" w:color="auto" w:fill="auto"/>
            <w:vAlign w:val="center"/>
          </w:tcPr>
          <w:p w14:paraId="5709207A"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22 (43.1%)</w:t>
            </w:r>
          </w:p>
        </w:tc>
        <w:tc>
          <w:tcPr>
            <w:tcW w:w="1265" w:type="dxa"/>
            <w:shd w:val="clear" w:color="auto" w:fill="auto"/>
            <w:vAlign w:val="center"/>
          </w:tcPr>
          <w:p w14:paraId="142FBB7E"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35 (39.3%)</w:t>
            </w:r>
          </w:p>
        </w:tc>
        <w:tc>
          <w:tcPr>
            <w:tcW w:w="1349" w:type="dxa"/>
            <w:shd w:val="clear" w:color="auto" w:fill="auto"/>
            <w:vAlign w:val="center"/>
          </w:tcPr>
          <w:p w14:paraId="06389C15"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123 (40.6%)</w:t>
            </w:r>
          </w:p>
        </w:tc>
        <w:tc>
          <w:tcPr>
            <w:tcW w:w="843" w:type="dxa"/>
            <w:vMerge/>
            <w:shd w:val="clear" w:color="auto" w:fill="auto"/>
            <w:vAlign w:val="center"/>
          </w:tcPr>
          <w:p w14:paraId="44C873CC"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33548081" w14:textId="77777777" w:rsidTr="00A6373F">
        <w:trPr>
          <w:trHeight w:val="321"/>
          <w:jc w:val="center"/>
        </w:trPr>
        <w:tc>
          <w:tcPr>
            <w:tcW w:w="3031" w:type="dxa"/>
            <w:shd w:val="clear" w:color="auto" w:fill="auto"/>
            <w:vAlign w:val="center"/>
          </w:tcPr>
          <w:p w14:paraId="36257155" w14:textId="77777777" w:rsidR="008C6BE4" w:rsidRPr="008C6BE4" w:rsidRDefault="008C6BE4" w:rsidP="00ED39AC">
            <w:pPr>
              <w:autoSpaceDE w:val="0"/>
              <w:autoSpaceDN w:val="0"/>
              <w:adjustRightInd w:val="0"/>
              <w:rPr>
                <w:rFonts w:asciiTheme="majorBidi" w:hAnsiTheme="majorBidi" w:cstheme="majorBidi"/>
                <w:b/>
                <w:bCs/>
              </w:rPr>
            </w:pPr>
            <w:r w:rsidRPr="008C6BE4">
              <w:rPr>
                <w:rFonts w:asciiTheme="majorBidi" w:hAnsiTheme="majorBidi" w:cstheme="majorBidi"/>
                <w:b/>
                <w:bCs/>
              </w:rPr>
              <w:t>% Δ Psychopathology Domain</w:t>
            </w:r>
          </w:p>
        </w:tc>
        <w:tc>
          <w:tcPr>
            <w:tcW w:w="7506" w:type="dxa"/>
            <w:gridSpan w:val="7"/>
            <w:shd w:val="clear" w:color="auto" w:fill="auto"/>
            <w:vAlign w:val="center"/>
          </w:tcPr>
          <w:p w14:paraId="55798E4A"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65B2ECEB" w14:textId="77777777" w:rsidTr="00A6373F">
        <w:trPr>
          <w:trHeight w:val="321"/>
          <w:jc w:val="center"/>
        </w:trPr>
        <w:tc>
          <w:tcPr>
            <w:tcW w:w="3031" w:type="dxa"/>
            <w:shd w:val="clear" w:color="auto" w:fill="auto"/>
            <w:vAlign w:val="center"/>
          </w:tcPr>
          <w:p w14:paraId="4BD2A39D"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Un-Responsiveness</w:t>
            </w:r>
          </w:p>
        </w:tc>
        <w:tc>
          <w:tcPr>
            <w:tcW w:w="1349" w:type="dxa"/>
            <w:shd w:val="clear" w:color="auto" w:fill="auto"/>
            <w:vAlign w:val="center"/>
          </w:tcPr>
          <w:p w14:paraId="6ADB943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70 (97.2%)</w:t>
            </w:r>
          </w:p>
        </w:tc>
        <w:tc>
          <w:tcPr>
            <w:tcW w:w="1349" w:type="dxa"/>
            <w:gridSpan w:val="2"/>
            <w:shd w:val="clear" w:color="auto" w:fill="auto"/>
            <w:vAlign w:val="center"/>
          </w:tcPr>
          <w:p w14:paraId="04D16463"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89 (97.8%)</w:t>
            </w:r>
          </w:p>
        </w:tc>
        <w:tc>
          <w:tcPr>
            <w:tcW w:w="1349" w:type="dxa"/>
            <w:shd w:val="clear" w:color="auto" w:fill="auto"/>
            <w:vAlign w:val="center"/>
          </w:tcPr>
          <w:p w14:paraId="7004E72E"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17 (33.3%)</w:t>
            </w:r>
          </w:p>
        </w:tc>
        <w:tc>
          <w:tcPr>
            <w:tcW w:w="1265" w:type="dxa"/>
            <w:shd w:val="clear" w:color="auto" w:fill="auto"/>
            <w:vAlign w:val="center"/>
          </w:tcPr>
          <w:p w14:paraId="0725B8EA"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23 (25.8%)</w:t>
            </w:r>
          </w:p>
        </w:tc>
        <w:tc>
          <w:tcPr>
            <w:tcW w:w="1349" w:type="dxa"/>
            <w:shd w:val="clear" w:color="auto" w:fill="auto"/>
            <w:vAlign w:val="center"/>
          </w:tcPr>
          <w:p w14:paraId="4D339D62"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199 (65.7%)</w:t>
            </w:r>
          </w:p>
        </w:tc>
        <w:tc>
          <w:tcPr>
            <w:tcW w:w="843" w:type="dxa"/>
            <w:vMerge w:val="restart"/>
            <w:shd w:val="clear" w:color="auto" w:fill="auto"/>
            <w:vAlign w:val="center"/>
          </w:tcPr>
          <w:p w14:paraId="5029912B" w14:textId="77777777" w:rsidR="008C6BE4" w:rsidRPr="008C6BE4" w:rsidRDefault="008C6BE4" w:rsidP="00ED39AC">
            <w:pPr>
              <w:autoSpaceDE w:val="0"/>
              <w:autoSpaceDN w:val="0"/>
              <w:adjustRightInd w:val="0"/>
              <w:ind w:left="60" w:right="60"/>
              <w:jc w:val="right"/>
              <w:rPr>
                <w:rFonts w:asciiTheme="majorBidi" w:hAnsiTheme="majorBidi" w:cstheme="majorBidi"/>
              </w:rPr>
            </w:pPr>
            <w:r w:rsidRPr="008C6BE4">
              <w:rPr>
                <w:rFonts w:asciiTheme="majorBidi" w:hAnsiTheme="majorBidi" w:cstheme="majorBidi"/>
              </w:rPr>
              <w:t>0.000</w:t>
            </w:r>
          </w:p>
        </w:tc>
      </w:tr>
      <w:tr w:rsidR="008C6BE4" w:rsidRPr="008C6BE4" w14:paraId="6BACA9F8" w14:textId="77777777" w:rsidTr="00A6373F">
        <w:trPr>
          <w:trHeight w:val="321"/>
          <w:jc w:val="center"/>
        </w:trPr>
        <w:tc>
          <w:tcPr>
            <w:tcW w:w="3031" w:type="dxa"/>
            <w:shd w:val="clear" w:color="auto" w:fill="auto"/>
          </w:tcPr>
          <w:p w14:paraId="1C37EC75" w14:textId="77777777" w:rsidR="008C6BE4" w:rsidRPr="008C6BE4" w:rsidRDefault="008C6BE4" w:rsidP="00ED39AC">
            <w:pPr>
              <w:autoSpaceDE w:val="0"/>
              <w:autoSpaceDN w:val="0"/>
              <w:adjustRightInd w:val="0"/>
              <w:jc w:val="right"/>
              <w:rPr>
                <w:rFonts w:asciiTheme="majorBidi" w:hAnsiTheme="majorBidi" w:cstheme="majorBidi"/>
                <w:b/>
                <w:bCs/>
              </w:rPr>
            </w:pPr>
            <w:r w:rsidRPr="008C6BE4">
              <w:rPr>
                <w:rFonts w:asciiTheme="majorBidi" w:hAnsiTheme="majorBidi" w:cstheme="majorBidi"/>
                <w:b/>
                <w:bCs/>
              </w:rPr>
              <w:t>Responsiveness</w:t>
            </w:r>
          </w:p>
        </w:tc>
        <w:tc>
          <w:tcPr>
            <w:tcW w:w="1349" w:type="dxa"/>
            <w:shd w:val="clear" w:color="auto" w:fill="auto"/>
          </w:tcPr>
          <w:p w14:paraId="28770C5D" w14:textId="77777777" w:rsidR="008C6BE4" w:rsidRPr="008C6BE4" w:rsidRDefault="008C6BE4" w:rsidP="00ED39AC">
            <w:pPr>
              <w:autoSpaceDE w:val="0"/>
              <w:autoSpaceDN w:val="0"/>
              <w:adjustRightInd w:val="0"/>
              <w:ind w:left="60" w:right="60"/>
              <w:jc w:val="center"/>
              <w:rPr>
                <w:rFonts w:asciiTheme="majorBidi" w:hAnsiTheme="majorBidi" w:cstheme="majorBidi"/>
                <w:rtl/>
                <w:lang w:bidi="ar-JO"/>
              </w:rPr>
            </w:pPr>
            <w:r w:rsidRPr="008C6BE4">
              <w:rPr>
                <w:rFonts w:asciiTheme="majorBidi" w:hAnsiTheme="majorBidi" w:cstheme="majorBidi"/>
              </w:rPr>
              <w:t>2 (2.8%)</w:t>
            </w:r>
          </w:p>
        </w:tc>
        <w:tc>
          <w:tcPr>
            <w:tcW w:w="1349" w:type="dxa"/>
            <w:gridSpan w:val="2"/>
            <w:shd w:val="clear" w:color="auto" w:fill="auto"/>
          </w:tcPr>
          <w:p w14:paraId="7A2206AD"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2 (2.2%)</w:t>
            </w:r>
          </w:p>
        </w:tc>
        <w:tc>
          <w:tcPr>
            <w:tcW w:w="1349" w:type="dxa"/>
            <w:shd w:val="clear" w:color="auto" w:fill="auto"/>
          </w:tcPr>
          <w:p w14:paraId="06671236"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34 (66.7%)</w:t>
            </w:r>
          </w:p>
        </w:tc>
        <w:tc>
          <w:tcPr>
            <w:tcW w:w="1265" w:type="dxa"/>
            <w:shd w:val="clear" w:color="auto" w:fill="auto"/>
          </w:tcPr>
          <w:p w14:paraId="3B3262B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66 (74.2%)</w:t>
            </w:r>
          </w:p>
        </w:tc>
        <w:tc>
          <w:tcPr>
            <w:tcW w:w="1349" w:type="dxa"/>
            <w:shd w:val="clear" w:color="auto" w:fill="auto"/>
          </w:tcPr>
          <w:p w14:paraId="170273DB" w14:textId="77777777" w:rsidR="008C6BE4" w:rsidRPr="008C6BE4" w:rsidRDefault="008C6BE4" w:rsidP="00ED39AC">
            <w:pPr>
              <w:autoSpaceDE w:val="0"/>
              <w:autoSpaceDN w:val="0"/>
              <w:adjustRightInd w:val="0"/>
              <w:ind w:left="60" w:right="60"/>
              <w:jc w:val="center"/>
              <w:rPr>
                <w:rFonts w:asciiTheme="majorBidi" w:hAnsiTheme="majorBidi" w:cstheme="majorBidi"/>
              </w:rPr>
            </w:pPr>
            <w:r w:rsidRPr="008C6BE4">
              <w:rPr>
                <w:rFonts w:asciiTheme="majorBidi" w:hAnsiTheme="majorBidi" w:cstheme="majorBidi"/>
              </w:rPr>
              <w:t>104 (34.3%)</w:t>
            </w:r>
          </w:p>
        </w:tc>
        <w:tc>
          <w:tcPr>
            <w:tcW w:w="843" w:type="dxa"/>
            <w:vMerge/>
            <w:shd w:val="clear" w:color="auto" w:fill="auto"/>
          </w:tcPr>
          <w:p w14:paraId="54235CD1" w14:textId="77777777" w:rsidR="008C6BE4" w:rsidRPr="008C6BE4" w:rsidRDefault="008C6BE4" w:rsidP="00ED39AC">
            <w:pPr>
              <w:autoSpaceDE w:val="0"/>
              <w:autoSpaceDN w:val="0"/>
              <w:adjustRightInd w:val="0"/>
              <w:ind w:left="60" w:right="60"/>
              <w:jc w:val="right"/>
              <w:rPr>
                <w:rFonts w:asciiTheme="majorBidi" w:hAnsiTheme="majorBidi" w:cstheme="majorBidi"/>
              </w:rPr>
            </w:pPr>
          </w:p>
        </w:tc>
      </w:tr>
      <w:tr w:rsidR="008C6BE4" w:rsidRPr="008C6BE4" w14:paraId="2F1C5393" w14:textId="77777777" w:rsidTr="00A6373F">
        <w:trPr>
          <w:trHeight w:val="321"/>
          <w:jc w:val="center"/>
        </w:trPr>
        <w:tc>
          <w:tcPr>
            <w:tcW w:w="10538" w:type="dxa"/>
            <w:gridSpan w:val="8"/>
            <w:shd w:val="clear" w:color="auto" w:fill="auto"/>
          </w:tcPr>
          <w:p w14:paraId="5A018C73" w14:textId="77777777" w:rsidR="008C6BE4" w:rsidRPr="008C6BE4" w:rsidRDefault="008C6BE4" w:rsidP="00ED39AC">
            <w:pPr>
              <w:autoSpaceDE w:val="0"/>
              <w:autoSpaceDN w:val="0"/>
              <w:adjustRightInd w:val="0"/>
              <w:ind w:left="60" w:right="60"/>
              <w:jc w:val="both"/>
              <w:rPr>
                <w:rFonts w:asciiTheme="majorBidi" w:hAnsiTheme="majorBidi" w:cstheme="majorBidi"/>
              </w:rPr>
            </w:pPr>
            <w:r w:rsidRPr="008C6BE4">
              <w:rPr>
                <w:rFonts w:asciiTheme="majorBidi" w:hAnsiTheme="majorBidi" w:cstheme="majorBidi"/>
              </w:rPr>
              <w:t>A Chi Square test was conducted and the results were expressed as rates with their counts. A p-value of 0.05 was adopted.</w:t>
            </w:r>
          </w:p>
          <w:p w14:paraId="0875ED46" w14:textId="77777777" w:rsidR="008C6BE4" w:rsidRPr="008C6BE4" w:rsidRDefault="008C6BE4" w:rsidP="00ED39AC">
            <w:pPr>
              <w:autoSpaceDE w:val="0"/>
              <w:autoSpaceDN w:val="0"/>
              <w:adjustRightInd w:val="0"/>
              <w:ind w:left="60" w:right="60"/>
              <w:jc w:val="both"/>
              <w:rPr>
                <w:rFonts w:asciiTheme="majorBidi" w:hAnsiTheme="majorBidi" w:cstheme="majorBidi"/>
              </w:rPr>
            </w:pPr>
            <w:r w:rsidRPr="008C6BE4">
              <w:rPr>
                <w:rFonts w:asciiTheme="majorBidi" w:hAnsiTheme="majorBidi" w:cstheme="majorBidi"/>
              </w:rPr>
              <w:t xml:space="preserve">Class I is made up of only older APDs, like Haloperidol tablets, Risperidone tablets, and </w:t>
            </w:r>
            <w:proofErr w:type="spellStart"/>
            <w:r w:rsidRPr="008C6BE4">
              <w:rPr>
                <w:rFonts w:asciiTheme="majorBidi" w:hAnsiTheme="majorBidi" w:cstheme="majorBidi"/>
              </w:rPr>
              <w:t>Amisulpride</w:t>
            </w:r>
            <w:proofErr w:type="spellEnd"/>
            <w:r w:rsidRPr="008C6BE4">
              <w:rPr>
                <w:rFonts w:asciiTheme="majorBidi" w:hAnsiTheme="majorBidi" w:cstheme="majorBidi"/>
              </w:rPr>
              <w:t xml:space="preserve"> tablets. Some examples of APDs in Class II are Fluphenazine LA, Flupentixol LA, Haloperidol LA, and Zuclopenthixol LA. These drugs are older oral with somewhat older IAPs. Modern oral antipsychotic drugs (APDs), such as Quetiapine, Olanzapine, Aripiprazole, and Paliperidone, are in Class III.   The Class IV group includes Class III APDs as well as newer IAPs like Paliperidone LA and Risperdal </w:t>
            </w:r>
            <w:proofErr w:type="spellStart"/>
            <w:r w:rsidRPr="008C6BE4">
              <w:rPr>
                <w:rFonts w:asciiTheme="majorBidi" w:hAnsiTheme="majorBidi" w:cstheme="majorBidi"/>
              </w:rPr>
              <w:t>consta</w:t>
            </w:r>
            <w:proofErr w:type="spellEnd"/>
            <w:r w:rsidRPr="008C6BE4">
              <w:rPr>
                <w:rFonts w:asciiTheme="majorBidi" w:hAnsiTheme="majorBidi" w:cstheme="majorBidi"/>
              </w:rPr>
              <w:t>. Responsiveness limit was determined in this study at reduction percentage at least 20% from baseline.</w:t>
            </w:r>
          </w:p>
        </w:tc>
      </w:tr>
      <w:tr w:rsidR="008C6BE4" w:rsidRPr="008C6BE4" w14:paraId="4F245770" w14:textId="77777777" w:rsidTr="00A6373F">
        <w:trPr>
          <w:trHeight w:val="321"/>
          <w:jc w:val="center"/>
        </w:trPr>
        <w:tc>
          <w:tcPr>
            <w:tcW w:w="5268" w:type="dxa"/>
            <w:gridSpan w:val="3"/>
            <w:shd w:val="clear" w:color="auto" w:fill="auto"/>
          </w:tcPr>
          <w:p w14:paraId="6CBEEA45" w14:textId="77777777" w:rsidR="008C6BE4" w:rsidRPr="008C6BE4" w:rsidRDefault="008C6BE4" w:rsidP="00ED39AC">
            <w:pPr>
              <w:autoSpaceDE w:val="0"/>
              <w:autoSpaceDN w:val="0"/>
              <w:adjustRightInd w:val="0"/>
              <w:ind w:left="60" w:right="60"/>
              <w:jc w:val="both"/>
              <w:rPr>
                <w:rFonts w:asciiTheme="majorBidi" w:hAnsiTheme="majorBidi" w:cstheme="majorBidi"/>
              </w:rPr>
            </w:pPr>
            <w:r w:rsidRPr="008C6BE4">
              <w:rPr>
                <w:rFonts w:asciiTheme="majorBidi" w:hAnsiTheme="majorBidi" w:cstheme="majorBidi"/>
                <w:b/>
                <w:bCs/>
              </w:rPr>
              <w:t>BRAS:</w:t>
            </w:r>
            <w:r w:rsidRPr="008C6BE4">
              <w:rPr>
                <w:rFonts w:asciiTheme="majorBidi" w:hAnsiTheme="majorBidi" w:cstheme="majorBidi"/>
              </w:rPr>
              <w:t xml:space="preserve"> </w:t>
            </w:r>
            <w:proofErr w:type="spellStart"/>
            <w:r w:rsidRPr="008C6BE4">
              <w:rPr>
                <w:rFonts w:asciiTheme="majorBidi" w:hAnsiTheme="majorBidi" w:cstheme="majorBidi"/>
              </w:rPr>
              <w:t>Behavioural</w:t>
            </w:r>
            <w:proofErr w:type="spellEnd"/>
            <w:r w:rsidRPr="008C6BE4">
              <w:rPr>
                <w:rFonts w:asciiTheme="majorBidi" w:hAnsiTheme="majorBidi" w:cstheme="majorBidi"/>
              </w:rPr>
              <w:t xml:space="preserve"> Adherence Rating Scale.</w:t>
            </w:r>
          </w:p>
        </w:tc>
        <w:tc>
          <w:tcPr>
            <w:tcW w:w="5269" w:type="dxa"/>
            <w:gridSpan w:val="5"/>
            <w:shd w:val="clear" w:color="auto" w:fill="auto"/>
          </w:tcPr>
          <w:p w14:paraId="732E37EC" w14:textId="77777777" w:rsidR="008C6BE4" w:rsidRPr="008C6BE4" w:rsidRDefault="008C6BE4" w:rsidP="00ED39AC">
            <w:pPr>
              <w:autoSpaceDE w:val="0"/>
              <w:autoSpaceDN w:val="0"/>
              <w:adjustRightInd w:val="0"/>
              <w:ind w:left="60" w:right="60"/>
              <w:jc w:val="both"/>
              <w:rPr>
                <w:rFonts w:asciiTheme="majorBidi" w:hAnsiTheme="majorBidi" w:cstheme="majorBidi"/>
              </w:rPr>
            </w:pPr>
            <w:r w:rsidRPr="008C6BE4">
              <w:rPr>
                <w:rFonts w:asciiTheme="majorBidi" w:hAnsiTheme="majorBidi" w:cstheme="majorBidi"/>
                <w:b/>
                <w:bCs/>
              </w:rPr>
              <w:t>APDs:</w:t>
            </w:r>
            <w:r w:rsidRPr="008C6BE4">
              <w:rPr>
                <w:rFonts w:asciiTheme="majorBidi" w:hAnsiTheme="majorBidi" w:cstheme="majorBidi"/>
              </w:rPr>
              <w:t xml:space="preserve"> Anti-psychotic drugs.</w:t>
            </w:r>
          </w:p>
        </w:tc>
      </w:tr>
    </w:tbl>
    <w:p w14:paraId="3AE4A97A" w14:textId="77777777" w:rsidR="008C6BE4" w:rsidRPr="008C6BE4" w:rsidRDefault="008C6BE4" w:rsidP="008C6BE4">
      <w:pPr>
        <w:pStyle w:val="NormalWeb"/>
        <w:ind w:firstLine="720"/>
        <w:jc w:val="both"/>
        <w:rPr>
          <w:rFonts w:asciiTheme="majorBidi" w:hAnsiTheme="majorBidi" w:cstheme="majorBidi"/>
          <w:rtl/>
        </w:rPr>
      </w:pPr>
    </w:p>
    <w:p w14:paraId="0FE20569" w14:textId="77777777" w:rsidR="00825FAB" w:rsidRDefault="00825FAB" w:rsidP="00825FAB">
      <w:pPr>
        <w:pStyle w:val="NormalWeb"/>
        <w:jc w:val="both"/>
        <w:rPr>
          <w:rFonts w:asciiTheme="majorBidi" w:hAnsiTheme="majorBidi" w:cstheme="majorBidi"/>
          <w:b/>
          <w:bCs/>
          <w:color w:val="000000"/>
        </w:rPr>
        <w:sectPr w:rsidR="00825FAB" w:rsidSect="00825FAB">
          <w:type w:val="continuous"/>
          <w:pgSz w:w="12240" w:h="15840" w:code="1"/>
          <w:pgMar w:top="720" w:right="1440" w:bottom="1440" w:left="1440" w:header="720" w:footer="720" w:gutter="0"/>
          <w:cols w:space="720"/>
          <w:docGrid w:linePitch="360"/>
        </w:sectPr>
      </w:pPr>
    </w:p>
    <w:p w14:paraId="0FFD2838" w14:textId="767A21C7" w:rsidR="00E83E22" w:rsidRDefault="009331FD" w:rsidP="00ED39AC">
      <w:pPr>
        <w:pStyle w:val="NormalWeb"/>
        <w:spacing w:before="0" w:beforeAutospacing="0" w:after="0" w:afterAutospacing="0"/>
        <w:jc w:val="both"/>
        <w:rPr>
          <w:rFonts w:asciiTheme="majorBidi" w:hAnsiTheme="majorBidi" w:cstheme="majorBidi"/>
          <w:b/>
          <w:bCs/>
          <w:color w:val="000000"/>
        </w:rPr>
      </w:pPr>
      <w:r w:rsidRPr="008C6BE4">
        <w:rPr>
          <w:rFonts w:asciiTheme="majorBidi" w:hAnsiTheme="majorBidi" w:cstheme="majorBidi"/>
          <w:b/>
          <w:bCs/>
          <w:color w:val="000000"/>
        </w:rPr>
        <w:t>Discussion</w:t>
      </w:r>
    </w:p>
    <w:p w14:paraId="466EBC04" w14:textId="77777777" w:rsidR="00ED39AC" w:rsidRPr="008C6BE4" w:rsidRDefault="00ED39AC" w:rsidP="00ED39AC">
      <w:pPr>
        <w:pStyle w:val="NormalWeb"/>
        <w:spacing w:before="0" w:beforeAutospacing="0" w:after="0" w:afterAutospacing="0"/>
        <w:jc w:val="both"/>
        <w:rPr>
          <w:rFonts w:asciiTheme="majorBidi" w:hAnsiTheme="majorBidi" w:cstheme="majorBidi"/>
          <w:b/>
          <w:bCs/>
          <w:color w:val="000000"/>
        </w:rPr>
      </w:pPr>
    </w:p>
    <w:p w14:paraId="68756384" w14:textId="77777777" w:rsidR="00B60DEB" w:rsidRPr="008C6BE4" w:rsidRDefault="00B60DEB" w:rsidP="00ED39AC">
      <w:pPr>
        <w:pStyle w:val="NormalWeb"/>
        <w:spacing w:before="0" w:beforeAutospacing="0" w:after="0" w:afterAutospacing="0"/>
        <w:ind w:firstLine="720"/>
        <w:jc w:val="both"/>
        <w:rPr>
          <w:rFonts w:asciiTheme="majorBidi" w:hAnsiTheme="majorBidi" w:cstheme="majorBidi"/>
        </w:rPr>
      </w:pPr>
      <w:r w:rsidRPr="008C6BE4">
        <w:rPr>
          <w:rFonts w:asciiTheme="majorBidi" w:hAnsiTheme="majorBidi" w:cstheme="majorBidi"/>
        </w:rPr>
        <w:t>A serious mental illness, schizophrenia, improves and worsens. Maintenance treatment is crucial, and the question of whether intramuscular long-acting (depot) antipsychotics can prevent medication discontinuation is unanswered.</w:t>
      </w:r>
      <w:r w:rsidRPr="008C6BE4">
        <w:rPr>
          <w:rFonts w:asciiTheme="majorBidi" w:hAnsiTheme="majorBidi" w:cstheme="majorBidi"/>
          <w:b/>
          <w:bCs/>
          <w:vertAlign w:val="superscript"/>
        </w:rPr>
        <w:t>20-21</w:t>
      </w:r>
      <w:r w:rsidRPr="008C6BE4">
        <w:rPr>
          <w:rFonts w:asciiTheme="majorBidi" w:hAnsiTheme="majorBidi" w:cstheme="majorBidi"/>
        </w:rPr>
        <w:t xml:space="preserve"> This study assigned schizophrenia spectrum disorder patients to one of four APD classes: Class I had only older APDs, Class II had both older oral and IAPs, Class III had only newer APDs, and Class IV had a mix of newer oral and IAPs. Schizophrenia patients' drug nonadherence hinders symptom control, and stopping treatment can </w:t>
      </w:r>
      <w:r w:rsidRPr="008C6BE4">
        <w:rPr>
          <w:rFonts w:asciiTheme="majorBidi" w:hAnsiTheme="majorBidi" w:cstheme="majorBidi"/>
        </w:rPr>
        <w:t>cause relapse and hospitalisation.</w:t>
      </w:r>
      <w:r w:rsidRPr="008C6BE4">
        <w:rPr>
          <w:rFonts w:asciiTheme="majorBidi" w:hAnsiTheme="majorBidi" w:cstheme="majorBidi"/>
          <w:b/>
          <w:bCs/>
          <w:vertAlign w:val="superscript"/>
        </w:rPr>
        <w:t>22</w:t>
      </w:r>
      <w:r w:rsidRPr="008C6BE4">
        <w:rPr>
          <w:rFonts w:asciiTheme="majorBidi" w:hAnsiTheme="majorBidi" w:cstheme="majorBidi"/>
        </w:rPr>
        <w:t xml:space="preserve"> Most patients in this study adhered 25%–50% [123, or 40.6%]. Both older ("Class I") and newer ("Class III") APDs caused these non-follow-through rates [72 (100% of those surveyed) and 51 (100% of those surveyed), respectively]. The patients' BRAS levels rose above 50% after adding IAPs to their oral APDs. For instance, 49.5% (45 patients) and 50.5% (46 patients) had BRAS levels of 50%-75% and ≥75%, respectively, after adding older IAPs to older oral APDs, while 65.2% (58 patients) and 34.8% (31) had BRAS levels of 50%-75% and ≥75%, respectively, after adding newer IAPs.</w:t>
      </w:r>
    </w:p>
    <w:p w14:paraId="3C7BF80F" w14:textId="77777777" w:rsidR="00825FAB" w:rsidRDefault="00825FAB" w:rsidP="00ED39AC">
      <w:pPr>
        <w:pStyle w:val="NormalWeb"/>
        <w:spacing w:before="0" w:beforeAutospacing="0" w:after="0" w:afterAutospacing="0"/>
        <w:ind w:firstLine="720"/>
        <w:jc w:val="both"/>
        <w:rPr>
          <w:rFonts w:asciiTheme="majorBidi" w:hAnsiTheme="majorBidi" w:cstheme="majorBidi"/>
        </w:rPr>
        <w:sectPr w:rsidR="00825FAB" w:rsidSect="00825FAB">
          <w:type w:val="continuous"/>
          <w:pgSz w:w="12240" w:h="15840" w:code="1"/>
          <w:pgMar w:top="720" w:right="1440" w:bottom="1440" w:left="1440" w:header="720" w:footer="720" w:gutter="0"/>
          <w:cols w:num="2" w:space="720"/>
          <w:docGrid w:linePitch="360"/>
        </w:sectPr>
      </w:pPr>
    </w:p>
    <w:p w14:paraId="506B7566" w14:textId="6CF635D4" w:rsidR="00B60DEB" w:rsidRPr="008C6BE4" w:rsidRDefault="00B60DEB" w:rsidP="00ED39AC">
      <w:pPr>
        <w:pStyle w:val="NormalWeb"/>
        <w:spacing w:before="0" w:beforeAutospacing="0" w:after="0" w:afterAutospacing="0"/>
        <w:jc w:val="both"/>
        <w:rPr>
          <w:rFonts w:asciiTheme="majorBidi" w:hAnsiTheme="majorBidi" w:cstheme="majorBidi"/>
        </w:rPr>
      </w:pPr>
      <w:r w:rsidRPr="008C6BE4">
        <w:rPr>
          <w:rFonts w:asciiTheme="majorBidi" w:hAnsiTheme="majorBidi" w:cstheme="majorBidi"/>
        </w:rPr>
        <w:t xml:space="preserve">Men who started taking antipsychotics early, people with low education or intellectual disability, unemployed people, people without much insight, people with severe negative symptoms, and people who have been to psychiatric hospitals often may stop </w:t>
      </w:r>
      <w:r w:rsidRPr="008C6BE4">
        <w:rPr>
          <w:rFonts w:asciiTheme="majorBidi" w:hAnsiTheme="majorBidi" w:cstheme="majorBidi"/>
        </w:rPr>
        <w:t xml:space="preserve">taking them. Our study found more males than females in APD Classes I and III [39 (54.2%) vs. 33 (45.8%) and 27 (52.9%) vs. 24 (47.1%)]. In the negative symptoms domain, which scored 28–34 points, APD Classes I and III had higher rates [36 (50.0%) </w:t>
      </w:r>
      <w:r w:rsidRPr="008C6BE4">
        <w:rPr>
          <w:rFonts w:asciiTheme="majorBidi" w:hAnsiTheme="majorBidi" w:cstheme="majorBidi"/>
        </w:rPr>
        <w:lastRenderedPageBreak/>
        <w:t xml:space="preserve">and 22 (43.1%), respectively, than Classes II and IV [37 (40.7%) and 38 (42.7%)]. Even after APD interventions, negative symptoms </w:t>
      </w:r>
      <w:r w:rsidRPr="008C6BE4">
        <w:rPr>
          <w:rFonts w:asciiTheme="majorBidi" w:hAnsiTheme="majorBidi" w:cstheme="majorBidi"/>
        </w:rPr>
        <w:t>domains were higher in APD Classes I and III than Classes II and IV [17 (23.6%) and 9 (17.6%) vs. 20 (22.0%) and 15 (16.9%)].</w:t>
      </w:r>
    </w:p>
    <w:p w14:paraId="359E5940" w14:textId="77777777" w:rsidR="00825FAB" w:rsidRDefault="00825FAB" w:rsidP="00ED39AC">
      <w:pPr>
        <w:pStyle w:val="NormalWeb"/>
        <w:spacing w:before="0" w:beforeAutospacing="0" w:after="0" w:afterAutospacing="0"/>
        <w:ind w:firstLine="720"/>
        <w:jc w:val="both"/>
        <w:rPr>
          <w:rFonts w:asciiTheme="majorBidi" w:hAnsiTheme="majorBidi" w:cstheme="majorBidi"/>
        </w:rPr>
        <w:sectPr w:rsidR="00825FAB" w:rsidSect="00825FAB">
          <w:type w:val="continuous"/>
          <w:pgSz w:w="12240" w:h="15840" w:code="1"/>
          <w:pgMar w:top="720" w:right="1440" w:bottom="1440" w:left="1440" w:header="720" w:footer="720" w:gutter="0"/>
          <w:cols w:num="2" w:space="720"/>
          <w:docGrid w:linePitch="360"/>
        </w:sectPr>
      </w:pPr>
    </w:p>
    <w:p w14:paraId="60020102" w14:textId="7AE81C9B" w:rsidR="008C6B61" w:rsidRPr="008C6BE4" w:rsidRDefault="00F75BBB" w:rsidP="00ED39AC">
      <w:pPr>
        <w:pStyle w:val="NormalWeb"/>
        <w:spacing w:before="0" w:beforeAutospacing="0" w:after="0" w:afterAutospacing="0"/>
        <w:jc w:val="both"/>
        <w:rPr>
          <w:rFonts w:asciiTheme="majorBidi" w:hAnsiTheme="majorBidi" w:cstheme="majorBidi"/>
          <w:b/>
          <w:bCs/>
          <w:color w:val="000000"/>
          <w:vertAlign w:val="superscript"/>
        </w:rPr>
      </w:pPr>
      <w:r w:rsidRPr="008C6BE4">
        <w:rPr>
          <w:rFonts w:asciiTheme="majorBidi" w:hAnsiTheme="majorBidi" w:cstheme="majorBidi"/>
        </w:rPr>
        <w:t xml:space="preserve">Long-acting injectable antipsychotics (LA-IAPs) have become more popular in recent decades, helping to solve this problem. First-generation LA-IAPs used in this study were Fluphenazine LA, Flupentixol LA, Haloperidol LA, and Zuclopenthixol LA. These drugs cause drowsiness, salivation, sexual issues, and extrapyramidal effects, so only aggressive or nonresponding patients receive them. Second-generation LA-IAPs reduce extrapyramidal effects, sedation, and sexual dysfunction. They also improve life </w:t>
      </w:r>
      <w:r w:rsidRPr="008C6BE4">
        <w:rPr>
          <w:rFonts w:asciiTheme="majorBidi" w:hAnsiTheme="majorBidi" w:cstheme="majorBidi"/>
        </w:rPr>
        <w:t xml:space="preserve">quality, social functioning, and patient resilience by controlling negative, cognitive, and affective symptoms. This is why doctors are considering injectable therapy early in illness. This study used 2nd-generation LA-IAPs Paliperidone LA and Risperdal </w:t>
      </w:r>
      <w:proofErr w:type="spellStart"/>
      <w:r w:rsidRPr="008C6BE4">
        <w:rPr>
          <w:rFonts w:asciiTheme="majorBidi" w:hAnsiTheme="majorBidi" w:cstheme="majorBidi"/>
        </w:rPr>
        <w:t>consta</w:t>
      </w:r>
      <w:proofErr w:type="spellEnd"/>
      <w:r w:rsidRPr="008C6BE4">
        <w:rPr>
          <w:rFonts w:asciiTheme="majorBidi" w:hAnsiTheme="majorBidi" w:cstheme="majorBidi"/>
        </w:rPr>
        <w:t>. In this study, 23.76%, or 72 patients, had Class I APDs. There were 91 Class II APD patients, or 30.03%. Similarly, 51 patients (16.83%) were classified as APD Class III. Class IV APDs comprised 29.37% of the total, with 89 patients.</w:t>
      </w:r>
      <w:r w:rsidR="00E9672F" w:rsidRPr="008C6BE4">
        <w:rPr>
          <w:rFonts w:asciiTheme="majorBidi" w:hAnsiTheme="majorBidi" w:cstheme="majorBidi"/>
          <w:b/>
          <w:bCs/>
          <w:color w:val="000000"/>
          <w:vertAlign w:val="superscript"/>
        </w:rPr>
        <w:t>23-25</w:t>
      </w:r>
    </w:p>
    <w:p w14:paraId="2CF549D3" w14:textId="77777777" w:rsidR="00825FAB" w:rsidRDefault="00825FAB" w:rsidP="00ED39AC">
      <w:pPr>
        <w:pStyle w:val="NormalWeb"/>
        <w:spacing w:before="0" w:beforeAutospacing="0" w:after="0" w:afterAutospacing="0"/>
        <w:ind w:firstLine="720"/>
        <w:jc w:val="both"/>
        <w:rPr>
          <w:rFonts w:asciiTheme="majorBidi" w:hAnsiTheme="majorBidi" w:cstheme="majorBidi"/>
        </w:rPr>
        <w:sectPr w:rsidR="00825FAB" w:rsidSect="009331FD">
          <w:type w:val="continuous"/>
          <w:pgSz w:w="12240" w:h="15840" w:code="1"/>
          <w:pgMar w:top="990" w:right="1440" w:bottom="1440" w:left="1440" w:header="720" w:footer="720" w:gutter="0"/>
          <w:cols w:num="2" w:space="720"/>
          <w:docGrid w:linePitch="360"/>
        </w:sectPr>
      </w:pPr>
    </w:p>
    <w:p w14:paraId="6D286CBD" w14:textId="77777777" w:rsidR="00825FAB" w:rsidRDefault="00F75BBB" w:rsidP="00ED39AC">
      <w:pPr>
        <w:pStyle w:val="NormalWeb"/>
        <w:spacing w:before="0" w:beforeAutospacing="0" w:after="0" w:afterAutospacing="0"/>
        <w:ind w:firstLine="720"/>
        <w:jc w:val="both"/>
        <w:rPr>
          <w:rFonts w:asciiTheme="majorBidi" w:hAnsiTheme="majorBidi" w:cstheme="majorBidi"/>
        </w:rPr>
        <w:sectPr w:rsidR="00825FAB" w:rsidSect="00825FAB">
          <w:type w:val="continuous"/>
          <w:pgSz w:w="12240" w:h="15840" w:code="1"/>
          <w:pgMar w:top="720" w:right="1440" w:bottom="1440" w:left="1440" w:header="720" w:footer="720" w:gutter="0"/>
          <w:cols w:num="2" w:space="720"/>
          <w:docGrid w:linePitch="360"/>
        </w:sectPr>
      </w:pPr>
      <w:r w:rsidRPr="008C6BE4">
        <w:rPr>
          <w:rFonts w:asciiTheme="majorBidi" w:hAnsiTheme="majorBidi" w:cstheme="majorBidi"/>
        </w:rPr>
        <w:t xml:space="preserve">Neurocognition and the improvement in cognitive functioning by some molecules have garnered attention, so more molecules with a smaller negative effect on cognitive symptoms are used. Second-generation LA-IAPs have more regular patient-mental health service contacts and fewer therapy discontinuations than first-generation ones. </w:t>
      </w:r>
      <w:r w:rsidRPr="008C6BE4">
        <w:rPr>
          <w:rFonts w:asciiTheme="majorBidi" w:hAnsiTheme="majorBidi" w:cstheme="majorBidi"/>
        </w:rPr>
        <w:t>Second-generation LA-IAPs are more expensive and can have dangerous metabolic side effects for people with diabetes, obesity, or metabolic syndrome, making them harder to use. Second-generation antipsychotics now treat mood, anxiety, obsessive-compulsive, and somatic mental disorders in addition to psychosis</w:t>
      </w:r>
    </w:p>
    <w:p w14:paraId="5D0F397C" w14:textId="279347E1" w:rsidR="000A4ADF" w:rsidRPr="008C6BE4" w:rsidRDefault="00F75BBB" w:rsidP="00ED39AC">
      <w:pPr>
        <w:pStyle w:val="NormalWeb"/>
        <w:spacing w:before="0" w:beforeAutospacing="0" w:after="0" w:afterAutospacing="0"/>
        <w:jc w:val="both"/>
        <w:rPr>
          <w:rFonts w:asciiTheme="majorBidi" w:hAnsiTheme="majorBidi" w:cstheme="majorBidi"/>
          <w:b/>
          <w:bCs/>
          <w:color w:val="000000"/>
          <w:vertAlign w:val="superscript"/>
        </w:rPr>
      </w:pPr>
      <w:r w:rsidRPr="008C6BE4">
        <w:rPr>
          <w:rFonts w:asciiTheme="majorBidi" w:hAnsiTheme="majorBidi" w:cstheme="majorBidi"/>
        </w:rPr>
        <w:t xml:space="preserve"> Better biochemical profile, bioavailability, lower risk of accidental overdose, more stable blood concentration, and no peak effect are all advantages of injectable formulations over oral ones. Several studies have found that injectable therapy has higher </w:t>
      </w:r>
      <w:r w:rsidRPr="008C6BE4">
        <w:rPr>
          <w:rFonts w:asciiTheme="majorBidi" w:hAnsiTheme="majorBidi" w:cstheme="majorBidi"/>
        </w:rPr>
        <w:t xml:space="preserve">therapeutic adherence than oral therapy, but few have found significant differences in emergency room access, psychiatric ward admissions, voluntary or compulsory nature, and </w:t>
      </w:r>
      <w:proofErr w:type="spellStart"/>
      <w:r w:rsidRPr="008C6BE4">
        <w:rPr>
          <w:rFonts w:asciiTheme="majorBidi" w:hAnsiTheme="majorBidi" w:cstheme="majorBidi"/>
        </w:rPr>
        <w:t>hospitalisation</w:t>
      </w:r>
      <w:proofErr w:type="spellEnd"/>
      <w:r w:rsidRPr="008C6BE4">
        <w:rPr>
          <w:rFonts w:asciiTheme="majorBidi" w:hAnsiTheme="majorBidi" w:cstheme="majorBidi"/>
        </w:rPr>
        <w:t xml:space="preserve"> </w:t>
      </w:r>
      <w:proofErr w:type="gramStart"/>
      <w:r w:rsidRPr="008C6BE4">
        <w:rPr>
          <w:rFonts w:asciiTheme="majorBidi" w:hAnsiTheme="majorBidi" w:cstheme="majorBidi"/>
        </w:rPr>
        <w:t>length.</w:t>
      </w:r>
      <w:r w:rsidR="0032264A" w:rsidRPr="008C6BE4">
        <w:rPr>
          <w:rFonts w:asciiTheme="majorBidi" w:hAnsiTheme="majorBidi" w:cstheme="majorBidi"/>
          <w:color w:val="000000"/>
        </w:rPr>
        <w:t>.</w:t>
      </w:r>
      <w:proofErr w:type="gramEnd"/>
      <w:r w:rsidR="00E9672F" w:rsidRPr="008C6BE4">
        <w:rPr>
          <w:rFonts w:asciiTheme="majorBidi" w:hAnsiTheme="majorBidi" w:cstheme="majorBidi"/>
          <w:b/>
          <w:bCs/>
          <w:color w:val="000000"/>
          <w:vertAlign w:val="superscript"/>
        </w:rPr>
        <w:t>26-28</w:t>
      </w:r>
    </w:p>
    <w:p w14:paraId="39182597" w14:textId="77777777" w:rsidR="00825FAB" w:rsidRDefault="00825FAB" w:rsidP="00ED39AC">
      <w:pPr>
        <w:pStyle w:val="NormalWeb"/>
        <w:spacing w:before="0" w:beforeAutospacing="0" w:after="0" w:afterAutospacing="0"/>
        <w:ind w:firstLine="720"/>
        <w:jc w:val="both"/>
        <w:rPr>
          <w:rFonts w:asciiTheme="majorBidi" w:hAnsiTheme="majorBidi" w:cstheme="majorBidi"/>
        </w:rPr>
        <w:sectPr w:rsidR="00825FAB" w:rsidSect="00825FAB">
          <w:type w:val="continuous"/>
          <w:pgSz w:w="12240" w:h="15840" w:code="1"/>
          <w:pgMar w:top="720" w:right="1440" w:bottom="1440" w:left="1440" w:header="720" w:footer="720" w:gutter="0"/>
          <w:cols w:num="2" w:space="720"/>
          <w:docGrid w:linePitch="360"/>
        </w:sectPr>
      </w:pPr>
    </w:p>
    <w:p w14:paraId="4C6F86A2" w14:textId="42E07C95" w:rsidR="00F75BBB" w:rsidRPr="008C6BE4" w:rsidRDefault="00F75BBB" w:rsidP="00ED39AC">
      <w:pPr>
        <w:pStyle w:val="NormalWeb"/>
        <w:spacing w:before="0" w:beforeAutospacing="0" w:after="0" w:afterAutospacing="0"/>
        <w:ind w:firstLine="720"/>
        <w:jc w:val="both"/>
        <w:rPr>
          <w:rFonts w:asciiTheme="majorBidi" w:hAnsiTheme="majorBidi" w:cstheme="majorBidi"/>
        </w:rPr>
      </w:pPr>
      <w:r w:rsidRPr="008C6BE4">
        <w:rPr>
          <w:rFonts w:asciiTheme="majorBidi" w:hAnsiTheme="majorBidi" w:cstheme="majorBidi"/>
        </w:rPr>
        <w:t xml:space="preserve">The main goal of this study was to examine common APD responsiveness rates practically. Oral APDs alone and with LA-IAPs were examined in older and younger generations. We then compared the two groups using a validated symptomatic score (PANSS) for the three main schizophrenia spectrum disorder symptoms. We examine the major effects of these APD classes on symptom domains while considering strong patients' adherence. The validated </w:t>
      </w:r>
      <w:proofErr w:type="spellStart"/>
      <w:r w:rsidRPr="008C6BE4">
        <w:rPr>
          <w:rFonts w:asciiTheme="majorBidi" w:hAnsiTheme="majorBidi" w:cstheme="majorBidi"/>
        </w:rPr>
        <w:t>Behavioural</w:t>
      </w:r>
      <w:proofErr w:type="spellEnd"/>
      <w:r w:rsidRPr="008C6BE4">
        <w:rPr>
          <w:rFonts w:asciiTheme="majorBidi" w:hAnsiTheme="majorBidi" w:cstheme="majorBidi"/>
        </w:rPr>
        <w:t xml:space="preserve"> Rating Adherence Scale (BRAS) was used to assess patient adherence to treatment plans. A validation study compared BARS to electronic monitoring in 61 adult schizophrenia patients. BARS had 73% sensitivity and 71% specificity. However, it has major issues. Memory biases, ignorance, and the desire to fit in can cast doubt on self-reported drug adherence metrics.</w:t>
      </w:r>
    </w:p>
    <w:p w14:paraId="79DDA654" w14:textId="77777777" w:rsidR="00825FAB" w:rsidRDefault="00825FAB" w:rsidP="00ED39AC">
      <w:pPr>
        <w:pStyle w:val="NormalWeb"/>
        <w:spacing w:before="0" w:beforeAutospacing="0" w:after="0" w:afterAutospacing="0"/>
        <w:ind w:firstLine="720"/>
        <w:jc w:val="both"/>
        <w:rPr>
          <w:rFonts w:asciiTheme="majorBidi" w:hAnsiTheme="majorBidi" w:cstheme="majorBidi"/>
        </w:rPr>
        <w:sectPr w:rsidR="00825FAB" w:rsidSect="00825FAB">
          <w:type w:val="continuous"/>
          <w:pgSz w:w="12240" w:h="15840" w:code="1"/>
          <w:pgMar w:top="720" w:right="1440" w:bottom="1440" w:left="1440" w:header="720" w:footer="720" w:gutter="0"/>
          <w:cols w:num="2" w:space="720"/>
          <w:docGrid w:linePitch="360"/>
        </w:sectPr>
      </w:pPr>
    </w:p>
    <w:p w14:paraId="2D3AF6CD" w14:textId="6E66D3F1" w:rsidR="00C1197D" w:rsidRPr="008C6BE4" w:rsidRDefault="00F75BBB" w:rsidP="00ED39AC">
      <w:pPr>
        <w:pStyle w:val="NormalWeb"/>
        <w:spacing w:before="0" w:beforeAutospacing="0" w:after="0" w:afterAutospacing="0"/>
        <w:ind w:firstLine="720"/>
        <w:jc w:val="both"/>
        <w:rPr>
          <w:rFonts w:asciiTheme="majorBidi" w:hAnsiTheme="majorBidi" w:cstheme="majorBidi"/>
          <w:b/>
          <w:bCs/>
          <w:color w:val="000000"/>
          <w:vertAlign w:val="superscript"/>
        </w:rPr>
      </w:pPr>
      <w:r w:rsidRPr="008C6BE4">
        <w:rPr>
          <w:rFonts w:asciiTheme="majorBidi" w:hAnsiTheme="majorBidi" w:cstheme="majorBidi"/>
        </w:rPr>
        <w:t xml:space="preserve">Long-acting injectable antipsychotics (LAIs) reduced </w:t>
      </w:r>
      <w:proofErr w:type="spellStart"/>
      <w:r w:rsidRPr="008C6BE4">
        <w:rPr>
          <w:rFonts w:asciiTheme="majorBidi" w:hAnsiTheme="majorBidi" w:cstheme="majorBidi"/>
        </w:rPr>
        <w:t>hospitalisations</w:t>
      </w:r>
      <w:proofErr w:type="spellEnd"/>
      <w:r w:rsidRPr="008C6BE4">
        <w:rPr>
          <w:rFonts w:asciiTheme="majorBidi" w:hAnsiTheme="majorBidi" w:cstheme="majorBidi"/>
        </w:rPr>
        <w:t xml:space="preserve"> more than oral antipsychotics in a meta-analysis of 25 mirror-image studies of 5940 schizophrenia patients from 28 countries. Finnish and Swedish cohort studies show that LAIs improve schizophrenia patients' compliance, clinical outcomes, and quality of life. However, 50% medication non-adherence </w:t>
      </w:r>
      <w:r w:rsidRPr="008C6BE4">
        <w:rPr>
          <w:rFonts w:asciiTheme="majorBidi" w:hAnsiTheme="majorBidi" w:cstheme="majorBidi"/>
        </w:rPr>
        <w:t xml:space="preserve">increases recurrence, </w:t>
      </w:r>
      <w:proofErr w:type="spellStart"/>
      <w:r w:rsidRPr="008C6BE4">
        <w:rPr>
          <w:rFonts w:asciiTheme="majorBidi" w:hAnsiTheme="majorBidi" w:cstheme="majorBidi"/>
        </w:rPr>
        <w:t>hospitalisation</w:t>
      </w:r>
      <w:proofErr w:type="spellEnd"/>
      <w:r w:rsidRPr="008C6BE4">
        <w:rPr>
          <w:rFonts w:asciiTheme="majorBidi" w:hAnsiTheme="majorBidi" w:cstheme="majorBidi"/>
        </w:rPr>
        <w:t xml:space="preserve">, healthcare resource consumption, costs, and patient quality of life. Three studies found LAI risperidone to improve Positive and Negative Syndrome Scale (PANSS) scores and be well tolerated. In India, retrospective studies examined adolescents with severe mental disorders who received first-generation LAI for reasons like failed or </w:t>
      </w:r>
      <w:r w:rsidRPr="008C6BE4">
        <w:rPr>
          <w:rFonts w:asciiTheme="majorBidi" w:hAnsiTheme="majorBidi" w:cstheme="majorBidi"/>
        </w:rPr>
        <w:lastRenderedPageBreak/>
        <w:t xml:space="preserve">partial oral antipsychotic response, severe, aggressive </w:t>
      </w:r>
      <w:proofErr w:type="spellStart"/>
      <w:r w:rsidRPr="008C6BE4">
        <w:rPr>
          <w:rFonts w:asciiTheme="majorBidi" w:hAnsiTheme="majorBidi" w:cstheme="majorBidi"/>
        </w:rPr>
        <w:t>behaviour</w:t>
      </w:r>
      <w:proofErr w:type="spellEnd"/>
      <w:r w:rsidRPr="008C6BE4">
        <w:rPr>
          <w:rFonts w:asciiTheme="majorBidi" w:hAnsiTheme="majorBidi" w:cstheme="majorBidi"/>
        </w:rPr>
        <w:t xml:space="preserve">, and oral AP non-adherence. Most patients received LAI fluphenazine (60.5%), accompanied by flupentixol (34.2%) and zuclopenthixol (18.4%). LAI risperidone had the most cases, followed by LAI paliperidone. Most studies </w:t>
      </w:r>
      <w:r w:rsidRPr="008C6BE4">
        <w:rPr>
          <w:rFonts w:asciiTheme="majorBidi" w:hAnsiTheme="majorBidi" w:cstheme="majorBidi"/>
        </w:rPr>
        <w:t>and case reports showed clinical improvement in the short and medium term (up to 12 months) with good tolerability. Children and adolescents tolerate LAIAs well, with side effects ranging from 0 to 45</w:t>
      </w:r>
      <w:proofErr w:type="gramStart"/>
      <w:r w:rsidRPr="008C6BE4">
        <w:rPr>
          <w:rFonts w:asciiTheme="majorBidi" w:hAnsiTheme="majorBidi" w:cstheme="majorBidi"/>
        </w:rPr>
        <w:t>%.</w:t>
      </w:r>
      <w:r w:rsidR="0032264A" w:rsidRPr="008C6BE4">
        <w:rPr>
          <w:rFonts w:asciiTheme="majorBidi" w:hAnsiTheme="majorBidi" w:cstheme="majorBidi"/>
          <w:color w:val="000000"/>
        </w:rPr>
        <w:t>.</w:t>
      </w:r>
      <w:proofErr w:type="gramEnd"/>
      <w:r w:rsidR="00E9672F" w:rsidRPr="008C6BE4">
        <w:rPr>
          <w:rFonts w:asciiTheme="majorBidi" w:hAnsiTheme="majorBidi" w:cstheme="majorBidi"/>
          <w:b/>
          <w:bCs/>
          <w:color w:val="000000"/>
          <w:vertAlign w:val="superscript"/>
        </w:rPr>
        <w:t>29-32</w:t>
      </w:r>
    </w:p>
    <w:p w14:paraId="6C8C75BE" w14:textId="77777777" w:rsidR="00825FAB" w:rsidRDefault="00825FAB" w:rsidP="008C6BE4">
      <w:pPr>
        <w:pStyle w:val="NormalWeb"/>
        <w:ind w:firstLine="720"/>
        <w:jc w:val="both"/>
        <w:rPr>
          <w:rFonts w:asciiTheme="majorBidi" w:hAnsiTheme="majorBidi" w:cstheme="majorBidi"/>
        </w:rPr>
        <w:sectPr w:rsidR="00825FAB" w:rsidSect="00F3575C">
          <w:type w:val="continuous"/>
          <w:pgSz w:w="12240" w:h="15840" w:code="1"/>
          <w:pgMar w:top="1170" w:right="1440" w:bottom="1440" w:left="1440" w:header="720" w:footer="720" w:gutter="0"/>
          <w:cols w:num="2" w:space="720"/>
          <w:docGrid w:linePitch="360"/>
        </w:sectPr>
      </w:pPr>
    </w:p>
    <w:p w14:paraId="57A8C18B" w14:textId="230F3705" w:rsidR="00825FAB" w:rsidRDefault="00F75BBB" w:rsidP="00FF7A46">
      <w:pPr>
        <w:pStyle w:val="NormalWeb"/>
        <w:jc w:val="both"/>
        <w:rPr>
          <w:rFonts w:asciiTheme="majorBidi" w:hAnsiTheme="majorBidi" w:cstheme="majorBidi"/>
        </w:rPr>
        <w:sectPr w:rsidR="00825FAB" w:rsidSect="00825FAB">
          <w:type w:val="continuous"/>
          <w:pgSz w:w="12240" w:h="15840" w:code="1"/>
          <w:pgMar w:top="720" w:right="1440" w:bottom="1440" w:left="1440" w:header="720" w:footer="720" w:gutter="0"/>
          <w:cols w:num="2" w:space="720"/>
          <w:docGrid w:linePitch="360"/>
        </w:sectPr>
      </w:pPr>
      <w:r w:rsidRPr="008C6BE4">
        <w:rPr>
          <w:rFonts w:asciiTheme="majorBidi" w:hAnsiTheme="majorBidi" w:cstheme="majorBidi"/>
        </w:rPr>
        <w:t xml:space="preserve">Our study found that first-generation oral APDs without (Class I) or with (Class II) first-generation LA-IAPs showed the highest %Δ improvement in positive symptoms (-49.46%±20.85% and -47.09%±18.95%, respectively). Second-generation oral APDs without (APDs' Class III) or with (APDs' Class IV) LA-IAPs followed [-30.16%18.38% and -29.24%18.57%]. Negative symptoms domain scores for APD Classes I-IV were similar: -18.77%±19.56%, -19.69%±16.39%, -18.97%±16.63%, and -16.55%±11.39%. Psychopathological symptoms showed the greatest improvement </w:t>
      </w:r>
      <w:r w:rsidRPr="008C6BE4">
        <w:rPr>
          <w:rFonts w:asciiTheme="majorBidi" w:hAnsiTheme="majorBidi" w:cstheme="majorBidi"/>
        </w:rPr>
        <w:t xml:space="preserve">in second-generation oral APDs with or without second-generation LA-IAPs (APDs' Class III and IV) [-26.41%±13.89% and -28.85%±14.06%, respectively]. First-generation oral APDs without (APDs' Class I) or with (APDs' Class II) first-generation LA-IAPs followed [-5.09%5.92% and -6.18%5.90%]. These findings support previous research that negative symptoms affect APD adherence more. This study found that long-acting and injectable APDs, </w:t>
      </w:r>
      <w:proofErr w:type="spellStart"/>
      <w:r w:rsidRPr="008C6BE4">
        <w:rPr>
          <w:rFonts w:asciiTheme="majorBidi" w:hAnsiTheme="majorBidi" w:cstheme="majorBidi"/>
        </w:rPr>
        <w:t>ot</w:t>
      </w:r>
      <w:proofErr w:type="spellEnd"/>
      <w:r w:rsidRPr="008C6BE4">
        <w:rPr>
          <w:rFonts w:asciiTheme="majorBidi" w:hAnsiTheme="majorBidi" w:cstheme="majorBidi"/>
        </w:rPr>
        <w:t xml:space="preserve"> patients' desire to take their medications, increased </w:t>
      </w:r>
    </w:p>
    <w:p w14:paraId="07073FDC" w14:textId="638DF2CE" w:rsidR="00F75BBB" w:rsidRPr="008C6BE4" w:rsidRDefault="00F75BBB" w:rsidP="00FF7A46">
      <w:pPr>
        <w:pStyle w:val="NormalWeb"/>
        <w:jc w:val="both"/>
        <w:rPr>
          <w:rFonts w:asciiTheme="majorBidi" w:hAnsiTheme="majorBidi" w:cstheme="majorBidi"/>
        </w:rPr>
      </w:pPr>
      <w:r w:rsidRPr="008C6BE4">
        <w:rPr>
          <w:rFonts w:asciiTheme="majorBidi" w:hAnsiTheme="majorBidi" w:cstheme="majorBidi"/>
        </w:rPr>
        <w:t>adherence in Classes II and IV. Our study supports previous research on the main roles of first-generation APDs in positive symptoms and second-generation APDs in psychopathological symptoms.</w:t>
      </w:r>
    </w:p>
    <w:p w14:paraId="08F16F91" w14:textId="0755F363" w:rsidR="00F75BBB" w:rsidRPr="008C6BE4" w:rsidRDefault="00F75BBB" w:rsidP="00ED39AC">
      <w:pPr>
        <w:pStyle w:val="NormalWeb"/>
        <w:spacing w:before="0" w:beforeAutospacing="0" w:after="0" w:afterAutospacing="0"/>
        <w:jc w:val="both"/>
        <w:rPr>
          <w:rFonts w:asciiTheme="majorBidi" w:hAnsiTheme="majorBidi" w:cstheme="majorBidi"/>
        </w:rPr>
      </w:pPr>
      <w:r w:rsidRPr="008C6BE4">
        <w:rPr>
          <w:rFonts w:asciiTheme="majorBidi" w:hAnsiTheme="majorBidi" w:cstheme="majorBidi"/>
        </w:rPr>
        <w:t xml:space="preserve">For oral antipsychotic non-adherent severe schizophrenia patients, LA-IAPs may help. Monitoring for non-adherence and treating with LA-IAPs are options for patients with poor insight. If side effects persist after improvement, switching to LA-IAP </w:t>
      </w:r>
      <w:r w:rsidRPr="008C6BE4">
        <w:rPr>
          <w:rFonts w:asciiTheme="majorBidi" w:hAnsiTheme="majorBidi" w:cstheme="majorBidi"/>
        </w:rPr>
        <w:t xml:space="preserve">formulations may improve tolerability. LA-IAPs may help patients with recent or first psychosis, and comorbid substance use should be considered when starting an antipsychotic medication (APD). LA-IAPs should be discussed with patients and </w:t>
      </w:r>
      <w:proofErr w:type="spellStart"/>
      <w:r w:rsidRPr="008C6BE4">
        <w:rPr>
          <w:rFonts w:asciiTheme="majorBidi" w:hAnsiTheme="majorBidi" w:cstheme="majorBidi"/>
        </w:rPr>
        <w:t>carers</w:t>
      </w:r>
      <w:proofErr w:type="spellEnd"/>
      <w:r w:rsidRPr="008C6BE4">
        <w:rPr>
          <w:rFonts w:asciiTheme="majorBidi" w:hAnsiTheme="majorBidi" w:cstheme="majorBidi"/>
        </w:rPr>
        <w:t xml:space="preserve"> during therapeutic plan development. The study's small sample size and inability to track relapse, remission, side effects, and maintenance length are flaws.</w:t>
      </w:r>
    </w:p>
    <w:p w14:paraId="159962A6" w14:textId="77777777" w:rsidR="00825FAB" w:rsidRDefault="00825FAB" w:rsidP="00ED39AC">
      <w:pPr>
        <w:pStyle w:val="Heading2"/>
        <w:spacing w:before="0" w:line="240" w:lineRule="auto"/>
        <w:rPr>
          <w:rFonts w:asciiTheme="majorBidi" w:hAnsiTheme="majorBidi"/>
        </w:rPr>
      </w:pPr>
    </w:p>
    <w:p w14:paraId="62BB6AA8" w14:textId="56E47640" w:rsidR="00ED39AC" w:rsidRPr="00ED39AC" w:rsidRDefault="00ED39AC" w:rsidP="00ED39AC">
      <w:pPr>
        <w:spacing w:after="0" w:line="240" w:lineRule="auto"/>
        <w:sectPr w:rsidR="00ED39AC" w:rsidRPr="00ED39AC" w:rsidSect="00825FAB">
          <w:type w:val="continuous"/>
          <w:pgSz w:w="12240" w:h="15840" w:code="1"/>
          <w:pgMar w:top="720" w:right="1440" w:bottom="1440" w:left="1440" w:header="720" w:footer="720" w:gutter="0"/>
          <w:cols w:num="2" w:space="720"/>
          <w:docGrid w:linePitch="360"/>
        </w:sectPr>
      </w:pPr>
    </w:p>
    <w:p w14:paraId="75E0153D" w14:textId="77777777" w:rsidR="00ED39AC" w:rsidRPr="00ED39AC" w:rsidRDefault="00ED39AC" w:rsidP="00ED39AC"/>
    <w:p w14:paraId="660178DD" w14:textId="212FAE83" w:rsidR="00E360C7" w:rsidRPr="00ED39AC" w:rsidRDefault="009331FD" w:rsidP="00ED39AC">
      <w:pPr>
        <w:pStyle w:val="Heading2"/>
        <w:spacing w:before="0" w:line="240" w:lineRule="auto"/>
        <w:rPr>
          <w:rFonts w:asciiTheme="majorBidi" w:hAnsiTheme="majorBidi"/>
          <w:b/>
          <w:bCs/>
          <w:color w:val="auto"/>
          <w:sz w:val="24"/>
          <w:szCs w:val="24"/>
        </w:rPr>
      </w:pPr>
      <w:r w:rsidRPr="00ED39AC">
        <w:rPr>
          <w:rFonts w:asciiTheme="majorBidi" w:hAnsiTheme="majorBidi"/>
          <w:b/>
          <w:bCs/>
          <w:color w:val="auto"/>
          <w:sz w:val="24"/>
          <w:szCs w:val="24"/>
        </w:rPr>
        <w:t>Conclusion</w:t>
      </w:r>
    </w:p>
    <w:p w14:paraId="196F629A" w14:textId="77777777" w:rsidR="00825FAB" w:rsidRDefault="00825FAB" w:rsidP="00ED39AC">
      <w:pPr>
        <w:pStyle w:val="NormalWeb"/>
        <w:spacing w:before="0" w:beforeAutospacing="0" w:after="0" w:afterAutospacing="0"/>
        <w:ind w:firstLine="720"/>
        <w:jc w:val="both"/>
        <w:rPr>
          <w:rFonts w:asciiTheme="majorBidi" w:hAnsiTheme="majorBidi" w:cstheme="majorBidi"/>
          <w:color w:val="000000"/>
        </w:rPr>
        <w:sectPr w:rsidR="00825FAB" w:rsidSect="00825FAB">
          <w:type w:val="continuous"/>
          <w:pgSz w:w="12240" w:h="15840" w:code="1"/>
          <w:pgMar w:top="720" w:right="1440" w:bottom="1440" w:left="1440" w:header="720" w:footer="720" w:gutter="0"/>
          <w:cols w:space="720"/>
          <w:docGrid w:linePitch="360"/>
        </w:sectPr>
      </w:pPr>
    </w:p>
    <w:p w14:paraId="67BB0EA6" w14:textId="49ABB4C8" w:rsidR="00825FAB" w:rsidRDefault="00851D7E" w:rsidP="00ED39AC">
      <w:pPr>
        <w:pStyle w:val="NormalWeb"/>
        <w:spacing w:before="0" w:beforeAutospacing="0" w:after="0" w:afterAutospacing="0"/>
        <w:ind w:firstLine="720"/>
        <w:jc w:val="both"/>
      </w:pPr>
      <w:r w:rsidRPr="008C6BE4">
        <w:rPr>
          <w:rFonts w:asciiTheme="majorBidi" w:hAnsiTheme="majorBidi" w:cstheme="majorBidi"/>
          <w:color w:val="000000"/>
        </w:rPr>
        <w:t xml:space="preserve">As shown in the tests of between-subjects effects table, both the positive scale and the psychological scale in the APDs Classes I–IV are significant, while the negative scale is insignificant. Our study </w:t>
      </w:r>
      <w:r w:rsidRPr="008C6BE4">
        <w:rPr>
          <w:rFonts w:asciiTheme="majorBidi" w:hAnsiTheme="majorBidi" w:cstheme="majorBidi"/>
          <w:color w:val="000000"/>
        </w:rPr>
        <w:t>agrees with other research that has been done on the main roles of first-generation APDs in the positive symptoms area and second-generation APDs in the psychopathological symptoms area.</w:t>
      </w:r>
    </w:p>
    <w:p w14:paraId="1ACD02E1" w14:textId="217D8744" w:rsidR="00825FAB" w:rsidRPr="00825FAB" w:rsidRDefault="00825FAB" w:rsidP="00825FAB">
      <w:pPr>
        <w:sectPr w:rsidR="00825FAB" w:rsidRPr="00825FAB" w:rsidSect="00825FAB">
          <w:type w:val="continuous"/>
          <w:pgSz w:w="12240" w:h="15840" w:code="1"/>
          <w:pgMar w:top="720" w:right="1440" w:bottom="1440" w:left="1440" w:header="720" w:footer="720" w:gutter="0"/>
          <w:cols w:num="2" w:space="720"/>
          <w:docGrid w:linePitch="360"/>
        </w:sectPr>
      </w:pPr>
    </w:p>
    <w:p w14:paraId="3F57B6DE" w14:textId="309BAB97" w:rsidR="00825FAB" w:rsidRDefault="00825FAB" w:rsidP="008C6BE4">
      <w:pPr>
        <w:pStyle w:val="Heading2"/>
        <w:spacing w:line="240" w:lineRule="auto"/>
        <w:rPr>
          <w:rFonts w:asciiTheme="majorBidi" w:hAnsiTheme="majorBidi"/>
          <w:color w:val="auto"/>
        </w:rPr>
      </w:pPr>
      <w:bookmarkStart w:id="2" w:name="_GoBack"/>
      <w:bookmarkEnd w:id="2"/>
    </w:p>
    <w:p w14:paraId="5F127F05" w14:textId="77777777" w:rsidR="00ED39AC" w:rsidRPr="00ED39AC" w:rsidRDefault="00ED39AC" w:rsidP="00ED39AC"/>
    <w:p w14:paraId="7AA23B97" w14:textId="3D986084" w:rsidR="00ED39AC" w:rsidRDefault="00ED39AC" w:rsidP="008C6BE4">
      <w:pPr>
        <w:pStyle w:val="Heading2"/>
        <w:spacing w:line="240" w:lineRule="auto"/>
        <w:rPr>
          <w:rFonts w:asciiTheme="majorBidi" w:hAnsiTheme="majorBidi"/>
          <w:b/>
          <w:bCs/>
          <w:color w:val="auto"/>
          <w:sz w:val="24"/>
          <w:szCs w:val="24"/>
        </w:rPr>
      </w:pPr>
    </w:p>
    <w:p w14:paraId="19BB7CD9" w14:textId="48B162F4" w:rsidR="00ED39AC" w:rsidRDefault="00ED39AC" w:rsidP="00ED39AC"/>
    <w:p w14:paraId="582E077A" w14:textId="77777777" w:rsidR="00ED39AC" w:rsidRPr="00ED39AC" w:rsidRDefault="00ED39AC" w:rsidP="00ED39AC"/>
    <w:p w14:paraId="7FB7FABE" w14:textId="395D316A" w:rsidR="00ED39AC" w:rsidRDefault="00ED39AC" w:rsidP="008C6BE4">
      <w:pPr>
        <w:pStyle w:val="Heading2"/>
        <w:spacing w:line="240" w:lineRule="auto"/>
        <w:rPr>
          <w:rFonts w:asciiTheme="majorBidi" w:hAnsiTheme="majorBidi"/>
          <w:b/>
          <w:bCs/>
          <w:color w:val="auto"/>
          <w:sz w:val="24"/>
          <w:szCs w:val="24"/>
        </w:rPr>
      </w:pPr>
    </w:p>
    <w:p w14:paraId="473D85AD" w14:textId="77777777" w:rsidR="00ED39AC" w:rsidRPr="00ED39AC" w:rsidRDefault="00ED39AC" w:rsidP="00ED39AC"/>
    <w:p w14:paraId="76ED01FA" w14:textId="7BE0F22F" w:rsidR="00680A65" w:rsidRPr="009740F4" w:rsidRDefault="009331FD" w:rsidP="008C6BE4">
      <w:pPr>
        <w:pStyle w:val="Heading2"/>
        <w:spacing w:line="240" w:lineRule="auto"/>
        <w:rPr>
          <w:rFonts w:asciiTheme="majorBidi" w:hAnsiTheme="majorBidi"/>
          <w:b/>
          <w:bCs/>
          <w:color w:val="auto"/>
          <w:sz w:val="24"/>
          <w:szCs w:val="24"/>
        </w:rPr>
      </w:pPr>
      <w:r w:rsidRPr="009740F4">
        <w:rPr>
          <w:rFonts w:asciiTheme="majorBidi" w:hAnsiTheme="majorBidi"/>
          <w:b/>
          <w:bCs/>
          <w:color w:val="auto"/>
          <w:sz w:val="24"/>
          <w:szCs w:val="24"/>
        </w:rPr>
        <w:lastRenderedPageBreak/>
        <w:t>References</w:t>
      </w:r>
    </w:p>
    <w:p w14:paraId="1424F027" w14:textId="3848A3BE"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Jin</w:t>
      </w:r>
      <w:proofErr w:type="spellEnd"/>
      <w:r w:rsidRPr="008C6BE4">
        <w:rPr>
          <w:rFonts w:asciiTheme="majorBidi" w:hAnsiTheme="majorBidi" w:cstheme="majorBidi"/>
          <w:color w:val="000000"/>
        </w:rPr>
        <w:t xml:space="preserve"> H, </w:t>
      </w:r>
      <w:proofErr w:type="spellStart"/>
      <w:r w:rsidRPr="008C6BE4">
        <w:rPr>
          <w:rFonts w:asciiTheme="majorBidi" w:hAnsiTheme="majorBidi" w:cstheme="majorBidi"/>
          <w:color w:val="000000"/>
        </w:rPr>
        <w:t>Mosweu</w:t>
      </w:r>
      <w:proofErr w:type="spellEnd"/>
      <w:r w:rsidRPr="008C6BE4">
        <w:rPr>
          <w:rFonts w:asciiTheme="majorBidi" w:hAnsiTheme="majorBidi" w:cstheme="majorBidi"/>
          <w:color w:val="000000"/>
        </w:rPr>
        <w:t xml:space="preserve"> I. The societal cost of schizophrenia: a systematic review. Pharmacoeconomics. </w:t>
      </w:r>
      <w:proofErr w:type="gramStart"/>
      <w:r w:rsidRPr="008C6BE4">
        <w:rPr>
          <w:rFonts w:asciiTheme="majorBidi" w:hAnsiTheme="majorBidi" w:cstheme="majorBidi"/>
          <w:color w:val="000000"/>
        </w:rPr>
        <w:t>2017;35:25</w:t>
      </w:r>
      <w:proofErr w:type="gramEnd"/>
      <w:r w:rsidRPr="008C6BE4">
        <w:rPr>
          <w:rFonts w:asciiTheme="majorBidi" w:hAnsiTheme="majorBidi" w:cstheme="majorBidi"/>
          <w:color w:val="000000"/>
        </w:rPr>
        <w:t xml:space="preserve">–42. </w:t>
      </w:r>
    </w:p>
    <w:p w14:paraId="5DFEA41F" w14:textId="7A3012C0"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Latorre</w:t>
      </w:r>
      <w:proofErr w:type="spellEnd"/>
      <w:r w:rsidRPr="008C6BE4">
        <w:rPr>
          <w:rFonts w:asciiTheme="majorBidi" w:hAnsiTheme="majorBidi" w:cstheme="majorBidi"/>
          <w:color w:val="000000"/>
        </w:rPr>
        <w:t xml:space="preserve"> V, </w:t>
      </w:r>
      <w:proofErr w:type="spellStart"/>
      <w:r w:rsidRPr="008C6BE4">
        <w:rPr>
          <w:rFonts w:asciiTheme="majorBidi" w:hAnsiTheme="majorBidi" w:cstheme="majorBidi"/>
          <w:color w:val="000000"/>
        </w:rPr>
        <w:t>Messeni</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Petruzzelli</w:t>
      </w:r>
      <w:proofErr w:type="spellEnd"/>
      <w:r w:rsidRPr="008C6BE4">
        <w:rPr>
          <w:rFonts w:asciiTheme="majorBidi" w:hAnsiTheme="majorBidi" w:cstheme="majorBidi"/>
          <w:color w:val="000000"/>
        </w:rPr>
        <w:t xml:space="preserve"> A, </w:t>
      </w:r>
      <w:proofErr w:type="spellStart"/>
      <w:r w:rsidRPr="008C6BE4">
        <w:rPr>
          <w:rFonts w:asciiTheme="majorBidi" w:hAnsiTheme="majorBidi" w:cstheme="majorBidi"/>
          <w:color w:val="000000"/>
        </w:rPr>
        <w:t>Uva</w:t>
      </w:r>
      <w:proofErr w:type="spellEnd"/>
      <w:r w:rsidRPr="008C6BE4">
        <w:rPr>
          <w:rFonts w:asciiTheme="majorBidi" w:hAnsiTheme="majorBidi" w:cstheme="majorBidi"/>
          <w:color w:val="000000"/>
        </w:rPr>
        <w:t xml:space="preserve"> AE, </w:t>
      </w:r>
      <w:proofErr w:type="spellStart"/>
      <w:r w:rsidRPr="008C6BE4">
        <w:rPr>
          <w:rFonts w:asciiTheme="majorBidi" w:hAnsiTheme="majorBidi" w:cstheme="majorBidi"/>
          <w:color w:val="000000"/>
        </w:rPr>
        <w:t>Ranaudo</w:t>
      </w:r>
      <w:proofErr w:type="spellEnd"/>
      <w:r w:rsidRPr="008C6BE4">
        <w:rPr>
          <w:rFonts w:asciiTheme="majorBidi" w:hAnsiTheme="majorBidi" w:cstheme="majorBidi"/>
          <w:color w:val="000000"/>
        </w:rPr>
        <w:t xml:space="preserve"> C, </w:t>
      </w:r>
      <w:proofErr w:type="spellStart"/>
      <w:r w:rsidRPr="008C6BE4">
        <w:rPr>
          <w:rFonts w:asciiTheme="majorBidi" w:hAnsiTheme="majorBidi" w:cstheme="majorBidi"/>
          <w:color w:val="000000"/>
        </w:rPr>
        <w:t>Semisa</w:t>
      </w:r>
      <w:proofErr w:type="spellEnd"/>
      <w:r w:rsidRPr="008C6BE4">
        <w:rPr>
          <w:rFonts w:asciiTheme="majorBidi" w:hAnsiTheme="majorBidi" w:cstheme="majorBidi"/>
          <w:color w:val="000000"/>
        </w:rPr>
        <w:t xml:space="preserve"> D. Unveiling the actual cost of schizophrenia: an activity-based costing (ABC) approach. Int J Health </w:t>
      </w:r>
      <w:proofErr w:type="spellStart"/>
      <w:r w:rsidRPr="008C6BE4">
        <w:rPr>
          <w:rFonts w:asciiTheme="majorBidi" w:hAnsiTheme="majorBidi" w:cstheme="majorBidi"/>
          <w:color w:val="000000"/>
        </w:rPr>
        <w:t>Plann</w:t>
      </w:r>
      <w:proofErr w:type="spellEnd"/>
      <w:r w:rsidRPr="008C6BE4">
        <w:rPr>
          <w:rFonts w:asciiTheme="majorBidi" w:hAnsiTheme="majorBidi" w:cstheme="majorBidi"/>
          <w:color w:val="000000"/>
        </w:rPr>
        <w:t xml:space="preserve"> Manage. 2021. </w:t>
      </w:r>
    </w:p>
    <w:p w14:paraId="1F48C981" w14:textId="41DF6E66" w:rsidR="00B955CE" w:rsidRPr="008C6BE4" w:rsidRDefault="00B955CE" w:rsidP="008C6BE4">
      <w:pPr>
        <w:pStyle w:val="NormalWeb"/>
        <w:numPr>
          <w:ilvl w:val="0"/>
          <w:numId w:val="8"/>
        </w:numPr>
        <w:jc w:val="both"/>
        <w:rPr>
          <w:rFonts w:asciiTheme="majorBidi" w:hAnsiTheme="majorBidi" w:cstheme="majorBidi"/>
          <w:color w:val="000000"/>
        </w:rPr>
      </w:pPr>
      <w:r w:rsidRPr="008C6BE4">
        <w:rPr>
          <w:rFonts w:asciiTheme="majorBidi" w:hAnsiTheme="majorBidi" w:cstheme="majorBidi"/>
          <w:color w:val="000000"/>
        </w:rPr>
        <w:t xml:space="preserve">Hegarty JD, </w:t>
      </w:r>
      <w:proofErr w:type="spellStart"/>
      <w:r w:rsidRPr="008C6BE4">
        <w:rPr>
          <w:rFonts w:asciiTheme="majorBidi" w:hAnsiTheme="majorBidi" w:cstheme="majorBidi"/>
          <w:color w:val="000000"/>
        </w:rPr>
        <w:t>Baldessarini</w:t>
      </w:r>
      <w:proofErr w:type="spellEnd"/>
      <w:r w:rsidRPr="008C6BE4">
        <w:rPr>
          <w:rFonts w:asciiTheme="majorBidi" w:hAnsiTheme="majorBidi" w:cstheme="majorBidi"/>
          <w:color w:val="000000"/>
        </w:rPr>
        <w:t xml:space="preserve"> RJ, </w:t>
      </w:r>
      <w:proofErr w:type="spellStart"/>
      <w:r w:rsidRPr="008C6BE4">
        <w:rPr>
          <w:rFonts w:asciiTheme="majorBidi" w:hAnsiTheme="majorBidi" w:cstheme="majorBidi"/>
          <w:color w:val="000000"/>
        </w:rPr>
        <w:t>Tohen</w:t>
      </w:r>
      <w:proofErr w:type="spellEnd"/>
      <w:r w:rsidRPr="008C6BE4">
        <w:rPr>
          <w:rFonts w:asciiTheme="majorBidi" w:hAnsiTheme="majorBidi" w:cstheme="majorBidi"/>
          <w:color w:val="000000"/>
        </w:rPr>
        <w:t xml:space="preserve"> M, </w:t>
      </w:r>
      <w:proofErr w:type="spellStart"/>
      <w:r w:rsidRPr="008C6BE4">
        <w:rPr>
          <w:rFonts w:asciiTheme="majorBidi" w:hAnsiTheme="majorBidi" w:cstheme="majorBidi"/>
          <w:color w:val="000000"/>
        </w:rPr>
        <w:t>Waternaux</w:t>
      </w:r>
      <w:proofErr w:type="spellEnd"/>
      <w:r w:rsidRPr="008C6BE4">
        <w:rPr>
          <w:rFonts w:asciiTheme="majorBidi" w:hAnsiTheme="majorBidi" w:cstheme="majorBidi"/>
          <w:color w:val="000000"/>
        </w:rPr>
        <w:t xml:space="preserve"> C, </w:t>
      </w:r>
      <w:proofErr w:type="spellStart"/>
      <w:r w:rsidRPr="008C6BE4">
        <w:rPr>
          <w:rFonts w:asciiTheme="majorBidi" w:hAnsiTheme="majorBidi" w:cstheme="majorBidi"/>
          <w:color w:val="000000"/>
        </w:rPr>
        <w:t>Oepen</w:t>
      </w:r>
      <w:proofErr w:type="spellEnd"/>
      <w:r w:rsidRPr="008C6BE4">
        <w:rPr>
          <w:rFonts w:asciiTheme="majorBidi" w:hAnsiTheme="majorBidi" w:cstheme="majorBidi"/>
          <w:color w:val="000000"/>
        </w:rPr>
        <w:t xml:space="preserve"> G. One hundred years of schizophrenia: a meta-analysis of the outcome literature. Am J Psychiatry. </w:t>
      </w:r>
      <w:proofErr w:type="gramStart"/>
      <w:r w:rsidRPr="008C6BE4">
        <w:rPr>
          <w:rFonts w:asciiTheme="majorBidi" w:hAnsiTheme="majorBidi" w:cstheme="majorBidi"/>
          <w:color w:val="000000"/>
        </w:rPr>
        <w:t>1994;151:1409</w:t>
      </w:r>
      <w:proofErr w:type="gramEnd"/>
      <w:r w:rsidRPr="008C6BE4">
        <w:rPr>
          <w:rFonts w:asciiTheme="majorBidi" w:hAnsiTheme="majorBidi" w:cstheme="majorBidi"/>
          <w:color w:val="000000"/>
        </w:rPr>
        <w:t xml:space="preserve">–16. </w:t>
      </w:r>
    </w:p>
    <w:p w14:paraId="3BEA76D3" w14:textId="19FABB98"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Rajji</w:t>
      </w:r>
      <w:proofErr w:type="spellEnd"/>
      <w:r w:rsidRPr="008C6BE4">
        <w:rPr>
          <w:rFonts w:asciiTheme="majorBidi" w:hAnsiTheme="majorBidi" w:cstheme="majorBidi"/>
          <w:color w:val="000000"/>
        </w:rPr>
        <w:t xml:space="preserve"> TK, Ismail Z, </w:t>
      </w:r>
      <w:proofErr w:type="spellStart"/>
      <w:r w:rsidRPr="008C6BE4">
        <w:rPr>
          <w:rFonts w:asciiTheme="majorBidi" w:hAnsiTheme="majorBidi" w:cstheme="majorBidi"/>
          <w:color w:val="000000"/>
        </w:rPr>
        <w:t>Mulsant</w:t>
      </w:r>
      <w:proofErr w:type="spellEnd"/>
      <w:r w:rsidRPr="008C6BE4">
        <w:rPr>
          <w:rFonts w:asciiTheme="majorBidi" w:hAnsiTheme="majorBidi" w:cstheme="majorBidi"/>
          <w:color w:val="000000"/>
        </w:rPr>
        <w:t xml:space="preserve"> BH. Age at onset and cognition in schizophrenia: meta-analysis. Br J Psychiatry. </w:t>
      </w:r>
      <w:proofErr w:type="gramStart"/>
      <w:r w:rsidRPr="008C6BE4">
        <w:rPr>
          <w:rFonts w:asciiTheme="majorBidi" w:hAnsiTheme="majorBidi" w:cstheme="majorBidi"/>
          <w:color w:val="000000"/>
        </w:rPr>
        <w:t>2009;195:286</w:t>
      </w:r>
      <w:proofErr w:type="gramEnd"/>
      <w:r w:rsidRPr="008C6BE4">
        <w:rPr>
          <w:rFonts w:asciiTheme="majorBidi" w:hAnsiTheme="majorBidi" w:cstheme="majorBidi"/>
          <w:color w:val="000000"/>
        </w:rPr>
        <w:t xml:space="preserve">–93. </w:t>
      </w:r>
    </w:p>
    <w:p w14:paraId="79CC23B0" w14:textId="5A1F06E7" w:rsidR="00B955CE" w:rsidRPr="008C6BE4" w:rsidRDefault="00B955CE" w:rsidP="008C6BE4">
      <w:pPr>
        <w:pStyle w:val="NormalWeb"/>
        <w:numPr>
          <w:ilvl w:val="0"/>
          <w:numId w:val="8"/>
        </w:numPr>
        <w:jc w:val="both"/>
        <w:rPr>
          <w:rFonts w:asciiTheme="majorBidi" w:hAnsiTheme="majorBidi" w:cstheme="majorBidi"/>
          <w:color w:val="000000"/>
        </w:rPr>
      </w:pPr>
      <w:r w:rsidRPr="008C6BE4">
        <w:rPr>
          <w:rFonts w:asciiTheme="majorBidi" w:hAnsiTheme="majorBidi" w:cstheme="majorBidi"/>
          <w:color w:val="000000"/>
        </w:rPr>
        <w:t xml:space="preserve">Harvey PD, </w:t>
      </w:r>
      <w:proofErr w:type="spellStart"/>
      <w:r w:rsidRPr="008C6BE4">
        <w:rPr>
          <w:rFonts w:asciiTheme="majorBidi" w:hAnsiTheme="majorBidi" w:cstheme="majorBidi"/>
          <w:color w:val="000000"/>
        </w:rPr>
        <w:t>Isner</w:t>
      </w:r>
      <w:proofErr w:type="spellEnd"/>
      <w:r w:rsidRPr="008C6BE4">
        <w:rPr>
          <w:rFonts w:asciiTheme="majorBidi" w:hAnsiTheme="majorBidi" w:cstheme="majorBidi"/>
          <w:color w:val="000000"/>
        </w:rPr>
        <w:t xml:space="preserve"> EC. Cognition, social cognition, and functional capacity in early-onset schizophrenia. Child </w:t>
      </w:r>
      <w:proofErr w:type="spellStart"/>
      <w:r w:rsidRPr="008C6BE4">
        <w:rPr>
          <w:rFonts w:asciiTheme="majorBidi" w:hAnsiTheme="majorBidi" w:cstheme="majorBidi"/>
          <w:color w:val="000000"/>
        </w:rPr>
        <w:t>Adolesc</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Psychiatr</w:t>
      </w:r>
      <w:proofErr w:type="spellEnd"/>
      <w:r w:rsidRPr="008C6BE4">
        <w:rPr>
          <w:rFonts w:asciiTheme="majorBidi" w:hAnsiTheme="majorBidi" w:cstheme="majorBidi"/>
          <w:color w:val="000000"/>
        </w:rPr>
        <w:t xml:space="preserve"> Clin N Am. </w:t>
      </w:r>
      <w:proofErr w:type="gramStart"/>
      <w:r w:rsidRPr="008C6BE4">
        <w:rPr>
          <w:rFonts w:asciiTheme="majorBidi" w:hAnsiTheme="majorBidi" w:cstheme="majorBidi"/>
          <w:color w:val="000000"/>
        </w:rPr>
        <w:t>2020;29:171</w:t>
      </w:r>
      <w:proofErr w:type="gramEnd"/>
      <w:r w:rsidRPr="008C6BE4">
        <w:rPr>
          <w:rFonts w:asciiTheme="majorBidi" w:hAnsiTheme="majorBidi" w:cstheme="majorBidi"/>
          <w:color w:val="000000"/>
        </w:rPr>
        <w:t xml:space="preserve">–82. </w:t>
      </w:r>
    </w:p>
    <w:p w14:paraId="2CA33200" w14:textId="2E56FEDB" w:rsidR="00F020B3"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Mattai</w:t>
      </w:r>
      <w:proofErr w:type="spellEnd"/>
      <w:r w:rsidRPr="008C6BE4">
        <w:rPr>
          <w:rFonts w:asciiTheme="majorBidi" w:hAnsiTheme="majorBidi" w:cstheme="majorBidi"/>
          <w:color w:val="000000"/>
        </w:rPr>
        <w:t xml:space="preserve"> AK, Hill JL, </w:t>
      </w:r>
      <w:proofErr w:type="spellStart"/>
      <w:r w:rsidRPr="008C6BE4">
        <w:rPr>
          <w:rFonts w:asciiTheme="majorBidi" w:hAnsiTheme="majorBidi" w:cstheme="majorBidi"/>
          <w:color w:val="000000"/>
        </w:rPr>
        <w:t>Lenroot</w:t>
      </w:r>
      <w:proofErr w:type="spellEnd"/>
      <w:r w:rsidRPr="008C6BE4">
        <w:rPr>
          <w:rFonts w:asciiTheme="majorBidi" w:hAnsiTheme="majorBidi" w:cstheme="majorBidi"/>
          <w:color w:val="000000"/>
        </w:rPr>
        <w:t xml:space="preserve"> RK. Treatment of early-onset schizophrenia. </w:t>
      </w:r>
      <w:proofErr w:type="spellStart"/>
      <w:r w:rsidRPr="008C6BE4">
        <w:rPr>
          <w:rFonts w:asciiTheme="majorBidi" w:hAnsiTheme="majorBidi" w:cstheme="majorBidi"/>
          <w:color w:val="000000"/>
        </w:rPr>
        <w:t>Curr</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Opin</w:t>
      </w:r>
      <w:proofErr w:type="spellEnd"/>
      <w:r w:rsidRPr="008C6BE4">
        <w:rPr>
          <w:rFonts w:asciiTheme="majorBidi" w:hAnsiTheme="majorBidi" w:cstheme="majorBidi"/>
          <w:color w:val="000000"/>
        </w:rPr>
        <w:t xml:space="preserve"> Psychiatry. </w:t>
      </w:r>
      <w:proofErr w:type="gramStart"/>
      <w:r w:rsidRPr="008C6BE4">
        <w:rPr>
          <w:rFonts w:asciiTheme="majorBidi" w:hAnsiTheme="majorBidi" w:cstheme="majorBidi"/>
          <w:color w:val="000000"/>
        </w:rPr>
        <w:t>2010;23:304</w:t>
      </w:r>
      <w:proofErr w:type="gramEnd"/>
      <w:r w:rsidRPr="008C6BE4">
        <w:rPr>
          <w:rFonts w:asciiTheme="majorBidi" w:hAnsiTheme="majorBidi" w:cstheme="majorBidi"/>
          <w:color w:val="000000"/>
        </w:rPr>
        <w:t xml:space="preserve">–10. </w:t>
      </w:r>
    </w:p>
    <w:p w14:paraId="1F9F7DCE" w14:textId="289462FE" w:rsidR="00B955CE" w:rsidRPr="008C6BE4" w:rsidRDefault="00B955CE" w:rsidP="008C6BE4">
      <w:pPr>
        <w:pStyle w:val="NormalWeb"/>
        <w:numPr>
          <w:ilvl w:val="0"/>
          <w:numId w:val="8"/>
        </w:numPr>
        <w:jc w:val="both"/>
        <w:rPr>
          <w:rFonts w:asciiTheme="majorBidi" w:hAnsiTheme="majorBidi" w:cstheme="majorBidi"/>
          <w:color w:val="000000"/>
        </w:rPr>
      </w:pPr>
      <w:r w:rsidRPr="008C6BE4">
        <w:rPr>
          <w:rFonts w:asciiTheme="majorBidi" w:hAnsiTheme="majorBidi" w:cstheme="majorBidi"/>
          <w:color w:val="000000"/>
        </w:rPr>
        <w:t xml:space="preserve">Harvey RC, James AC, Shields GE. A systematic review and network meta-analysis to assess the relative efficacy of antipsychotics for the treatment of positive and negative symptoms in early-onset schizophrenia. CNS Drugs. </w:t>
      </w:r>
      <w:proofErr w:type="gramStart"/>
      <w:r w:rsidRPr="008C6BE4">
        <w:rPr>
          <w:rFonts w:asciiTheme="majorBidi" w:hAnsiTheme="majorBidi" w:cstheme="majorBidi"/>
          <w:color w:val="000000"/>
        </w:rPr>
        <w:t>2016;30:27</w:t>
      </w:r>
      <w:proofErr w:type="gramEnd"/>
      <w:r w:rsidRPr="008C6BE4">
        <w:rPr>
          <w:rFonts w:asciiTheme="majorBidi" w:hAnsiTheme="majorBidi" w:cstheme="majorBidi"/>
          <w:color w:val="000000"/>
        </w:rPr>
        <w:t xml:space="preserve">–39. </w:t>
      </w:r>
    </w:p>
    <w:p w14:paraId="39265621" w14:textId="77777777" w:rsidR="009331FD"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Pagsberg</w:t>
      </w:r>
      <w:proofErr w:type="spellEnd"/>
      <w:r w:rsidRPr="008C6BE4">
        <w:rPr>
          <w:rFonts w:asciiTheme="majorBidi" w:hAnsiTheme="majorBidi" w:cstheme="majorBidi"/>
          <w:color w:val="000000"/>
        </w:rPr>
        <w:t xml:space="preserve"> AK, Tarp S, </w:t>
      </w:r>
      <w:proofErr w:type="spellStart"/>
      <w:r w:rsidRPr="008C6BE4">
        <w:rPr>
          <w:rFonts w:asciiTheme="majorBidi" w:hAnsiTheme="majorBidi" w:cstheme="majorBidi"/>
          <w:color w:val="000000"/>
        </w:rPr>
        <w:t>Glintborg</w:t>
      </w:r>
      <w:proofErr w:type="spellEnd"/>
      <w:r w:rsidRPr="008C6BE4">
        <w:rPr>
          <w:rFonts w:asciiTheme="majorBidi" w:hAnsiTheme="majorBidi" w:cstheme="majorBidi"/>
          <w:color w:val="000000"/>
        </w:rPr>
        <w:t xml:space="preserve"> D, </w:t>
      </w:r>
      <w:proofErr w:type="spellStart"/>
      <w:r w:rsidRPr="008C6BE4">
        <w:rPr>
          <w:rFonts w:asciiTheme="majorBidi" w:hAnsiTheme="majorBidi" w:cstheme="majorBidi"/>
          <w:color w:val="000000"/>
        </w:rPr>
        <w:t>Stenstrøm</w:t>
      </w:r>
      <w:proofErr w:type="spellEnd"/>
      <w:r w:rsidRPr="008C6BE4">
        <w:rPr>
          <w:rFonts w:asciiTheme="majorBidi" w:hAnsiTheme="majorBidi" w:cstheme="majorBidi"/>
          <w:color w:val="000000"/>
        </w:rPr>
        <w:t xml:space="preserve"> AD, Fink-Jensen A, </w:t>
      </w:r>
      <w:proofErr w:type="spellStart"/>
      <w:r w:rsidRPr="008C6BE4">
        <w:rPr>
          <w:rFonts w:asciiTheme="majorBidi" w:hAnsiTheme="majorBidi" w:cstheme="majorBidi"/>
          <w:color w:val="000000"/>
        </w:rPr>
        <w:t>Correll</w:t>
      </w:r>
      <w:proofErr w:type="spellEnd"/>
      <w:r w:rsidRPr="008C6BE4">
        <w:rPr>
          <w:rFonts w:asciiTheme="majorBidi" w:hAnsiTheme="majorBidi" w:cstheme="majorBidi"/>
          <w:color w:val="000000"/>
        </w:rPr>
        <w:t xml:space="preserve"> CU, et al. Acute antipsychotic treatment in children and adolescents with schizophrenia spectrum disorders: a systematic review and </w:t>
      </w:r>
    </w:p>
    <w:p w14:paraId="2B0098F6" w14:textId="31AA37E3" w:rsidR="00F020B3" w:rsidRPr="008C6BE4" w:rsidRDefault="00B955CE" w:rsidP="009331FD">
      <w:pPr>
        <w:pStyle w:val="NormalWeb"/>
        <w:ind w:left="720"/>
        <w:jc w:val="both"/>
        <w:rPr>
          <w:rFonts w:asciiTheme="majorBidi" w:hAnsiTheme="majorBidi" w:cstheme="majorBidi"/>
          <w:color w:val="000000"/>
        </w:rPr>
      </w:pPr>
      <w:r w:rsidRPr="008C6BE4">
        <w:rPr>
          <w:rFonts w:asciiTheme="majorBidi" w:hAnsiTheme="majorBidi" w:cstheme="majorBidi"/>
          <w:color w:val="000000"/>
        </w:rPr>
        <w:t xml:space="preserve">network meta-analysis. J Am </w:t>
      </w:r>
      <w:proofErr w:type="spellStart"/>
      <w:r w:rsidRPr="008C6BE4">
        <w:rPr>
          <w:rFonts w:asciiTheme="majorBidi" w:hAnsiTheme="majorBidi" w:cstheme="majorBidi"/>
          <w:color w:val="000000"/>
        </w:rPr>
        <w:t>Acad</w:t>
      </w:r>
      <w:proofErr w:type="spellEnd"/>
      <w:r w:rsidRPr="008C6BE4">
        <w:rPr>
          <w:rFonts w:asciiTheme="majorBidi" w:hAnsiTheme="majorBidi" w:cstheme="majorBidi"/>
          <w:color w:val="000000"/>
        </w:rPr>
        <w:t xml:space="preserve"> Child </w:t>
      </w:r>
      <w:proofErr w:type="spellStart"/>
      <w:r w:rsidRPr="008C6BE4">
        <w:rPr>
          <w:rFonts w:asciiTheme="majorBidi" w:hAnsiTheme="majorBidi" w:cstheme="majorBidi"/>
          <w:color w:val="000000"/>
        </w:rPr>
        <w:t>Adolesc</w:t>
      </w:r>
      <w:proofErr w:type="spellEnd"/>
      <w:r w:rsidRPr="008C6BE4">
        <w:rPr>
          <w:rFonts w:asciiTheme="majorBidi" w:hAnsiTheme="majorBidi" w:cstheme="majorBidi"/>
          <w:color w:val="000000"/>
        </w:rPr>
        <w:t xml:space="preserve"> Psychiatry. </w:t>
      </w:r>
      <w:proofErr w:type="gramStart"/>
      <w:r w:rsidRPr="008C6BE4">
        <w:rPr>
          <w:rFonts w:asciiTheme="majorBidi" w:hAnsiTheme="majorBidi" w:cstheme="majorBidi"/>
          <w:color w:val="000000"/>
        </w:rPr>
        <w:t>2017;56:191</w:t>
      </w:r>
      <w:proofErr w:type="gramEnd"/>
      <w:r w:rsidRPr="008C6BE4">
        <w:rPr>
          <w:rFonts w:asciiTheme="majorBidi" w:hAnsiTheme="majorBidi" w:cstheme="majorBidi"/>
          <w:color w:val="000000"/>
        </w:rPr>
        <w:t xml:space="preserve">–202 </w:t>
      </w:r>
    </w:p>
    <w:p w14:paraId="4044FF7C" w14:textId="04E6B979"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Sendt</w:t>
      </w:r>
      <w:proofErr w:type="spellEnd"/>
      <w:r w:rsidRPr="008C6BE4">
        <w:rPr>
          <w:rFonts w:asciiTheme="majorBidi" w:hAnsiTheme="majorBidi" w:cstheme="majorBidi"/>
          <w:color w:val="000000"/>
        </w:rPr>
        <w:t xml:space="preserve"> KV, Tracy DK, Bhattacharyya S. A systematic review of factors </w:t>
      </w:r>
      <w:r w:rsidRPr="008C6BE4">
        <w:rPr>
          <w:rFonts w:asciiTheme="majorBidi" w:hAnsiTheme="majorBidi" w:cstheme="majorBidi"/>
          <w:color w:val="000000"/>
        </w:rPr>
        <w:t xml:space="preserve">influencing adherence to antipsychotic medication in schizophrenia-spectrum disorders. Psychiatry Res. </w:t>
      </w:r>
      <w:proofErr w:type="gramStart"/>
      <w:r w:rsidRPr="008C6BE4">
        <w:rPr>
          <w:rFonts w:asciiTheme="majorBidi" w:hAnsiTheme="majorBidi" w:cstheme="majorBidi"/>
          <w:color w:val="000000"/>
        </w:rPr>
        <w:t>2015;225:14</w:t>
      </w:r>
      <w:proofErr w:type="gramEnd"/>
      <w:r w:rsidRPr="008C6BE4">
        <w:rPr>
          <w:rFonts w:asciiTheme="majorBidi" w:hAnsiTheme="majorBidi" w:cstheme="majorBidi"/>
          <w:color w:val="000000"/>
        </w:rPr>
        <w:t xml:space="preserve">–30. </w:t>
      </w:r>
    </w:p>
    <w:p w14:paraId="796DB0E1" w14:textId="42461A77" w:rsidR="00F020B3" w:rsidRPr="008C6BE4" w:rsidRDefault="00B955CE" w:rsidP="008C6BE4">
      <w:pPr>
        <w:pStyle w:val="NormalWeb"/>
        <w:numPr>
          <w:ilvl w:val="0"/>
          <w:numId w:val="8"/>
        </w:numPr>
        <w:jc w:val="both"/>
        <w:rPr>
          <w:rFonts w:asciiTheme="majorBidi" w:hAnsiTheme="majorBidi" w:cstheme="majorBidi"/>
          <w:color w:val="000000"/>
        </w:rPr>
      </w:pPr>
      <w:r w:rsidRPr="008C6BE4">
        <w:rPr>
          <w:rFonts w:asciiTheme="majorBidi" w:hAnsiTheme="majorBidi" w:cstheme="majorBidi"/>
          <w:color w:val="000000"/>
        </w:rPr>
        <w:t xml:space="preserve">Haddad PM, Brain C, Scott J. Nonadherence with antipsychotic medication in schizophrenia: challenges and management strategies. Patient </w:t>
      </w:r>
      <w:proofErr w:type="spellStart"/>
      <w:r w:rsidRPr="008C6BE4">
        <w:rPr>
          <w:rFonts w:asciiTheme="majorBidi" w:hAnsiTheme="majorBidi" w:cstheme="majorBidi"/>
          <w:color w:val="000000"/>
        </w:rPr>
        <w:t>Relat</w:t>
      </w:r>
      <w:proofErr w:type="spellEnd"/>
      <w:r w:rsidRPr="008C6BE4">
        <w:rPr>
          <w:rFonts w:asciiTheme="majorBidi" w:hAnsiTheme="majorBidi" w:cstheme="majorBidi"/>
          <w:color w:val="000000"/>
        </w:rPr>
        <w:t xml:space="preserve"> Outcome Meas. </w:t>
      </w:r>
      <w:proofErr w:type="gramStart"/>
      <w:r w:rsidRPr="008C6BE4">
        <w:rPr>
          <w:rFonts w:asciiTheme="majorBidi" w:hAnsiTheme="majorBidi" w:cstheme="majorBidi"/>
          <w:color w:val="000000"/>
        </w:rPr>
        <w:t>2014;5:43</w:t>
      </w:r>
      <w:proofErr w:type="gramEnd"/>
      <w:r w:rsidRPr="008C6BE4">
        <w:rPr>
          <w:rFonts w:asciiTheme="majorBidi" w:hAnsiTheme="majorBidi" w:cstheme="majorBidi"/>
          <w:color w:val="000000"/>
        </w:rPr>
        <w:t xml:space="preserve">–62. </w:t>
      </w:r>
    </w:p>
    <w:p w14:paraId="62D18817" w14:textId="1034832D"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Citrome</w:t>
      </w:r>
      <w:proofErr w:type="spellEnd"/>
      <w:r w:rsidRPr="008C6BE4">
        <w:rPr>
          <w:rFonts w:asciiTheme="majorBidi" w:hAnsiTheme="majorBidi" w:cstheme="majorBidi"/>
          <w:color w:val="000000"/>
        </w:rPr>
        <w:t xml:space="preserve"> L. New second-generation long-acting injectable antipsychotics for the treatment of schizophrenia. Expert Rev </w:t>
      </w:r>
      <w:proofErr w:type="spellStart"/>
      <w:r w:rsidRPr="008C6BE4">
        <w:rPr>
          <w:rFonts w:asciiTheme="majorBidi" w:hAnsiTheme="majorBidi" w:cstheme="majorBidi"/>
          <w:color w:val="000000"/>
        </w:rPr>
        <w:t>Neurother</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2013;13:767</w:t>
      </w:r>
      <w:proofErr w:type="gramEnd"/>
      <w:r w:rsidRPr="008C6BE4">
        <w:rPr>
          <w:rFonts w:asciiTheme="majorBidi" w:hAnsiTheme="majorBidi" w:cstheme="majorBidi"/>
          <w:color w:val="000000"/>
        </w:rPr>
        <w:t>–83.</w:t>
      </w:r>
    </w:p>
    <w:p w14:paraId="74AE4924" w14:textId="0E2BDDAF"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Montemagni</w:t>
      </w:r>
      <w:proofErr w:type="spellEnd"/>
      <w:r w:rsidRPr="008C6BE4">
        <w:rPr>
          <w:rFonts w:asciiTheme="majorBidi" w:hAnsiTheme="majorBidi" w:cstheme="majorBidi"/>
          <w:color w:val="000000"/>
        </w:rPr>
        <w:t xml:space="preserve"> C, </w:t>
      </w:r>
      <w:proofErr w:type="spellStart"/>
      <w:r w:rsidRPr="008C6BE4">
        <w:rPr>
          <w:rFonts w:asciiTheme="majorBidi" w:hAnsiTheme="majorBidi" w:cstheme="majorBidi"/>
          <w:color w:val="000000"/>
        </w:rPr>
        <w:t>Frieri</w:t>
      </w:r>
      <w:proofErr w:type="spellEnd"/>
      <w:r w:rsidRPr="008C6BE4">
        <w:rPr>
          <w:rFonts w:asciiTheme="majorBidi" w:hAnsiTheme="majorBidi" w:cstheme="majorBidi"/>
          <w:color w:val="000000"/>
        </w:rPr>
        <w:t xml:space="preserve"> T, Rocca P. Second-generation long-acting injectable antipsychotics in schizophrenia: patient functioning and quality of life. </w:t>
      </w:r>
      <w:proofErr w:type="spellStart"/>
      <w:r w:rsidRPr="008C6BE4">
        <w:rPr>
          <w:rFonts w:asciiTheme="majorBidi" w:hAnsiTheme="majorBidi" w:cstheme="majorBidi"/>
          <w:color w:val="000000"/>
        </w:rPr>
        <w:t>Neuropsychiatr</w:t>
      </w:r>
      <w:proofErr w:type="spellEnd"/>
      <w:r w:rsidRPr="008C6BE4">
        <w:rPr>
          <w:rFonts w:asciiTheme="majorBidi" w:hAnsiTheme="majorBidi" w:cstheme="majorBidi"/>
          <w:color w:val="000000"/>
        </w:rPr>
        <w:t xml:space="preserve"> Dis Treat. </w:t>
      </w:r>
      <w:proofErr w:type="gramStart"/>
      <w:r w:rsidRPr="008C6BE4">
        <w:rPr>
          <w:rFonts w:asciiTheme="majorBidi" w:hAnsiTheme="majorBidi" w:cstheme="majorBidi"/>
          <w:color w:val="000000"/>
        </w:rPr>
        <w:t>2016;12:917</w:t>
      </w:r>
      <w:proofErr w:type="gramEnd"/>
      <w:r w:rsidRPr="008C6BE4">
        <w:rPr>
          <w:rFonts w:asciiTheme="majorBidi" w:hAnsiTheme="majorBidi" w:cstheme="majorBidi"/>
          <w:color w:val="000000"/>
        </w:rPr>
        <w:t xml:space="preserve">–29. </w:t>
      </w:r>
    </w:p>
    <w:p w14:paraId="6A207154" w14:textId="0C2EFFEE"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Olagunju</w:t>
      </w:r>
      <w:proofErr w:type="spellEnd"/>
      <w:r w:rsidRPr="008C6BE4">
        <w:rPr>
          <w:rFonts w:asciiTheme="majorBidi" w:hAnsiTheme="majorBidi" w:cstheme="majorBidi"/>
          <w:color w:val="000000"/>
        </w:rPr>
        <w:t xml:space="preserve"> AT, Clark SR, </w:t>
      </w:r>
      <w:proofErr w:type="spellStart"/>
      <w:r w:rsidRPr="008C6BE4">
        <w:rPr>
          <w:rFonts w:asciiTheme="majorBidi" w:hAnsiTheme="majorBidi" w:cstheme="majorBidi"/>
          <w:color w:val="000000"/>
        </w:rPr>
        <w:t>Baune</w:t>
      </w:r>
      <w:proofErr w:type="spellEnd"/>
      <w:r w:rsidRPr="008C6BE4">
        <w:rPr>
          <w:rFonts w:asciiTheme="majorBidi" w:hAnsiTheme="majorBidi" w:cstheme="majorBidi"/>
          <w:color w:val="000000"/>
        </w:rPr>
        <w:t xml:space="preserve"> BT. Long-acting atypical antipsychotics in schizophrenia: a systematic review and meta-analyses of effects on functional outcome. Aust N Z J Psychiatry. </w:t>
      </w:r>
      <w:proofErr w:type="gramStart"/>
      <w:r w:rsidRPr="008C6BE4">
        <w:rPr>
          <w:rFonts w:asciiTheme="majorBidi" w:hAnsiTheme="majorBidi" w:cstheme="majorBidi"/>
          <w:color w:val="000000"/>
        </w:rPr>
        <w:t>2019;53:509</w:t>
      </w:r>
      <w:proofErr w:type="gramEnd"/>
      <w:r w:rsidRPr="008C6BE4">
        <w:rPr>
          <w:rFonts w:asciiTheme="majorBidi" w:hAnsiTheme="majorBidi" w:cstheme="majorBidi"/>
          <w:color w:val="000000"/>
        </w:rPr>
        <w:t xml:space="preserve">–27. </w:t>
      </w:r>
    </w:p>
    <w:p w14:paraId="74C0F1C7" w14:textId="00AA6EB6" w:rsidR="00B955CE" w:rsidRPr="008C6BE4"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Brissos</w:t>
      </w:r>
      <w:proofErr w:type="spellEnd"/>
      <w:r w:rsidRPr="008C6BE4">
        <w:rPr>
          <w:rFonts w:asciiTheme="majorBidi" w:hAnsiTheme="majorBidi" w:cstheme="majorBidi"/>
          <w:color w:val="000000"/>
        </w:rPr>
        <w:t xml:space="preserve"> S, </w:t>
      </w:r>
      <w:proofErr w:type="spellStart"/>
      <w:r w:rsidRPr="008C6BE4">
        <w:rPr>
          <w:rFonts w:asciiTheme="majorBidi" w:hAnsiTheme="majorBidi" w:cstheme="majorBidi"/>
          <w:color w:val="000000"/>
        </w:rPr>
        <w:t>Veguilla</w:t>
      </w:r>
      <w:proofErr w:type="spellEnd"/>
      <w:r w:rsidRPr="008C6BE4">
        <w:rPr>
          <w:rFonts w:asciiTheme="majorBidi" w:hAnsiTheme="majorBidi" w:cstheme="majorBidi"/>
          <w:color w:val="000000"/>
        </w:rPr>
        <w:t xml:space="preserve"> MR, Taylor D, </w:t>
      </w:r>
      <w:proofErr w:type="spellStart"/>
      <w:r w:rsidRPr="008C6BE4">
        <w:rPr>
          <w:rFonts w:asciiTheme="majorBidi" w:hAnsiTheme="majorBidi" w:cstheme="majorBidi"/>
          <w:color w:val="000000"/>
        </w:rPr>
        <w:t>Balanzá</w:t>
      </w:r>
      <w:proofErr w:type="spellEnd"/>
      <w:r w:rsidRPr="008C6BE4">
        <w:rPr>
          <w:rFonts w:asciiTheme="majorBidi" w:hAnsiTheme="majorBidi" w:cstheme="majorBidi"/>
          <w:color w:val="000000"/>
        </w:rPr>
        <w:t xml:space="preserve">-Martinez V. The role of long-acting injectable antipsychotics in schizophrenia: a critical appraisal. </w:t>
      </w:r>
      <w:proofErr w:type="spellStart"/>
      <w:r w:rsidRPr="008C6BE4">
        <w:rPr>
          <w:rFonts w:asciiTheme="majorBidi" w:hAnsiTheme="majorBidi" w:cstheme="majorBidi"/>
          <w:color w:val="000000"/>
        </w:rPr>
        <w:t>Ther</w:t>
      </w:r>
      <w:proofErr w:type="spellEnd"/>
      <w:r w:rsidRPr="008C6BE4">
        <w:rPr>
          <w:rFonts w:asciiTheme="majorBidi" w:hAnsiTheme="majorBidi" w:cstheme="majorBidi"/>
          <w:color w:val="000000"/>
        </w:rPr>
        <w:t xml:space="preserve"> Adv </w:t>
      </w:r>
      <w:proofErr w:type="spellStart"/>
      <w:r w:rsidRPr="008C6BE4">
        <w:rPr>
          <w:rFonts w:asciiTheme="majorBidi" w:hAnsiTheme="majorBidi" w:cstheme="majorBidi"/>
          <w:color w:val="000000"/>
        </w:rPr>
        <w:t>Psychopharmacol</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2014;4:198</w:t>
      </w:r>
      <w:proofErr w:type="gramEnd"/>
      <w:r w:rsidRPr="008C6BE4">
        <w:rPr>
          <w:rFonts w:asciiTheme="majorBidi" w:hAnsiTheme="majorBidi" w:cstheme="majorBidi"/>
          <w:color w:val="000000"/>
        </w:rPr>
        <w:t xml:space="preserve">–219. </w:t>
      </w:r>
    </w:p>
    <w:p w14:paraId="6DCD5D34" w14:textId="77777777" w:rsidR="009331FD" w:rsidRDefault="00B955CE" w:rsidP="008C6BE4">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Leucht</w:t>
      </w:r>
      <w:proofErr w:type="spellEnd"/>
      <w:r w:rsidRPr="008C6BE4">
        <w:rPr>
          <w:rFonts w:asciiTheme="majorBidi" w:hAnsiTheme="majorBidi" w:cstheme="majorBidi"/>
          <w:color w:val="000000"/>
        </w:rPr>
        <w:t xml:space="preserve"> C, </w:t>
      </w:r>
      <w:proofErr w:type="spellStart"/>
      <w:r w:rsidRPr="008C6BE4">
        <w:rPr>
          <w:rFonts w:asciiTheme="majorBidi" w:hAnsiTheme="majorBidi" w:cstheme="majorBidi"/>
          <w:color w:val="000000"/>
        </w:rPr>
        <w:t>Heres</w:t>
      </w:r>
      <w:proofErr w:type="spellEnd"/>
      <w:r w:rsidRPr="008C6BE4">
        <w:rPr>
          <w:rFonts w:asciiTheme="majorBidi" w:hAnsiTheme="majorBidi" w:cstheme="majorBidi"/>
          <w:color w:val="000000"/>
        </w:rPr>
        <w:t xml:space="preserve"> S, Kane JM, Kissling W, Davis JM, </w:t>
      </w:r>
      <w:proofErr w:type="spellStart"/>
      <w:r w:rsidRPr="008C6BE4">
        <w:rPr>
          <w:rFonts w:asciiTheme="majorBidi" w:hAnsiTheme="majorBidi" w:cstheme="majorBidi"/>
          <w:color w:val="000000"/>
        </w:rPr>
        <w:t>Leucht</w:t>
      </w:r>
      <w:proofErr w:type="spellEnd"/>
      <w:r w:rsidRPr="008C6BE4">
        <w:rPr>
          <w:rFonts w:asciiTheme="majorBidi" w:hAnsiTheme="majorBidi" w:cstheme="majorBidi"/>
          <w:color w:val="000000"/>
        </w:rPr>
        <w:t xml:space="preserve"> S. Oral versus depot antipsychotic drugs for schizophrenia-A critical systematic review and meta-analysis of </w:t>
      </w:r>
      <w:proofErr w:type="spellStart"/>
      <w:r w:rsidRPr="008C6BE4">
        <w:rPr>
          <w:rFonts w:asciiTheme="majorBidi" w:hAnsiTheme="majorBidi" w:cstheme="majorBidi"/>
          <w:color w:val="000000"/>
        </w:rPr>
        <w:t>randomised</w:t>
      </w:r>
      <w:proofErr w:type="spellEnd"/>
      <w:r w:rsidRPr="008C6BE4">
        <w:rPr>
          <w:rFonts w:asciiTheme="majorBidi" w:hAnsiTheme="majorBidi" w:cstheme="majorBidi"/>
          <w:color w:val="000000"/>
        </w:rPr>
        <w:t xml:space="preserve"> long-term trials. </w:t>
      </w:r>
      <w:proofErr w:type="spellStart"/>
      <w:r w:rsidRPr="008C6BE4">
        <w:rPr>
          <w:rFonts w:asciiTheme="majorBidi" w:hAnsiTheme="majorBidi" w:cstheme="majorBidi"/>
          <w:color w:val="000000"/>
        </w:rPr>
        <w:t>Schizophr</w:t>
      </w:r>
      <w:proofErr w:type="spellEnd"/>
      <w:r w:rsidRPr="008C6BE4">
        <w:rPr>
          <w:rFonts w:asciiTheme="majorBidi" w:hAnsiTheme="majorBidi" w:cstheme="majorBidi"/>
          <w:color w:val="000000"/>
        </w:rPr>
        <w:t xml:space="preserve"> Res. 2011;2011(127):83–92.</w:t>
      </w:r>
    </w:p>
    <w:p w14:paraId="1B582C0B" w14:textId="7A7D8C26" w:rsidR="00B955CE" w:rsidRPr="008C6BE4" w:rsidRDefault="00B955CE" w:rsidP="009331FD">
      <w:pPr>
        <w:pStyle w:val="NormalWeb"/>
        <w:jc w:val="both"/>
        <w:rPr>
          <w:rFonts w:asciiTheme="majorBidi" w:hAnsiTheme="majorBidi" w:cstheme="majorBidi"/>
          <w:color w:val="000000"/>
        </w:rPr>
      </w:pPr>
      <w:r w:rsidRPr="008C6BE4">
        <w:rPr>
          <w:rFonts w:asciiTheme="majorBidi" w:hAnsiTheme="majorBidi" w:cstheme="majorBidi"/>
          <w:color w:val="000000"/>
        </w:rPr>
        <w:t xml:space="preserve"> </w:t>
      </w:r>
    </w:p>
    <w:p w14:paraId="0B3A878C" w14:textId="1EC68E19" w:rsidR="00F020B3" w:rsidRPr="008C6BE4" w:rsidRDefault="00B955CE" w:rsidP="00F3575C">
      <w:pPr>
        <w:pStyle w:val="NormalWeb"/>
        <w:numPr>
          <w:ilvl w:val="0"/>
          <w:numId w:val="8"/>
        </w:numPr>
        <w:ind w:firstLine="90"/>
        <w:jc w:val="both"/>
        <w:rPr>
          <w:rFonts w:asciiTheme="majorBidi" w:hAnsiTheme="majorBidi" w:cstheme="majorBidi"/>
          <w:color w:val="000000"/>
        </w:rPr>
      </w:pPr>
      <w:proofErr w:type="spellStart"/>
      <w:r w:rsidRPr="008C6BE4">
        <w:rPr>
          <w:rFonts w:asciiTheme="majorBidi" w:hAnsiTheme="majorBidi" w:cstheme="majorBidi"/>
          <w:color w:val="000000"/>
        </w:rPr>
        <w:t>Carlone</w:t>
      </w:r>
      <w:proofErr w:type="spellEnd"/>
      <w:r w:rsidRPr="008C6BE4">
        <w:rPr>
          <w:rFonts w:asciiTheme="majorBidi" w:hAnsiTheme="majorBidi" w:cstheme="majorBidi"/>
          <w:color w:val="000000"/>
        </w:rPr>
        <w:t xml:space="preserve"> C, </w:t>
      </w:r>
      <w:proofErr w:type="spellStart"/>
      <w:r w:rsidRPr="008C6BE4">
        <w:rPr>
          <w:rFonts w:asciiTheme="majorBidi" w:hAnsiTheme="majorBidi" w:cstheme="majorBidi"/>
          <w:color w:val="000000"/>
        </w:rPr>
        <w:t>Pompili</w:t>
      </w:r>
      <w:proofErr w:type="spellEnd"/>
      <w:r w:rsidRPr="008C6BE4">
        <w:rPr>
          <w:rFonts w:asciiTheme="majorBidi" w:hAnsiTheme="majorBidi" w:cstheme="majorBidi"/>
          <w:color w:val="000000"/>
        </w:rPr>
        <w:t xml:space="preserve"> E, </w:t>
      </w:r>
      <w:proofErr w:type="spellStart"/>
      <w:r w:rsidRPr="008C6BE4">
        <w:rPr>
          <w:rFonts w:asciiTheme="majorBidi" w:hAnsiTheme="majorBidi" w:cstheme="majorBidi"/>
          <w:color w:val="000000"/>
        </w:rPr>
        <w:t>Silvestrini</w:t>
      </w:r>
      <w:proofErr w:type="spellEnd"/>
      <w:r w:rsidRPr="008C6BE4">
        <w:rPr>
          <w:rFonts w:asciiTheme="majorBidi" w:hAnsiTheme="majorBidi" w:cstheme="majorBidi"/>
          <w:color w:val="000000"/>
        </w:rPr>
        <w:t xml:space="preserve"> C, </w:t>
      </w:r>
      <w:proofErr w:type="spellStart"/>
      <w:r w:rsidRPr="008C6BE4">
        <w:rPr>
          <w:rFonts w:asciiTheme="majorBidi" w:hAnsiTheme="majorBidi" w:cstheme="majorBidi"/>
          <w:color w:val="000000"/>
        </w:rPr>
        <w:t>Nicolò</w:t>
      </w:r>
      <w:proofErr w:type="spellEnd"/>
      <w:r w:rsidRPr="008C6BE4">
        <w:rPr>
          <w:rFonts w:asciiTheme="majorBidi" w:hAnsiTheme="majorBidi" w:cstheme="majorBidi"/>
          <w:color w:val="000000"/>
        </w:rPr>
        <w:t xml:space="preserve"> G. Aripiprazole once-monthly as treatment for psychosis in Turner syndrome: literature review and case report. </w:t>
      </w:r>
      <w:proofErr w:type="spellStart"/>
      <w:r w:rsidRPr="008C6BE4">
        <w:rPr>
          <w:rFonts w:asciiTheme="majorBidi" w:hAnsiTheme="majorBidi" w:cstheme="majorBidi"/>
          <w:color w:val="000000"/>
        </w:rPr>
        <w:t>Riv</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Psichiatr</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2016;51:129</w:t>
      </w:r>
      <w:proofErr w:type="gramEnd"/>
      <w:r w:rsidRPr="008C6BE4">
        <w:rPr>
          <w:rFonts w:asciiTheme="majorBidi" w:hAnsiTheme="majorBidi" w:cstheme="majorBidi"/>
          <w:color w:val="000000"/>
        </w:rPr>
        <w:t xml:space="preserve">–34. </w:t>
      </w:r>
    </w:p>
    <w:p w14:paraId="58816090" w14:textId="1317AFD5" w:rsidR="00B955CE" w:rsidRPr="008C6BE4" w:rsidRDefault="00B955CE" w:rsidP="00E42138">
      <w:pPr>
        <w:pStyle w:val="NormalWeb"/>
        <w:numPr>
          <w:ilvl w:val="0"/>
          <w:numId w:val="8"/>
        </w:numPr>
        <w:ind w:firstLine="0"/>
        <w:jc w:val="both"/>
        <w:rPr>
          <w:rFonts w:asciiTheme="majorBidi" w:hAnsiTheme="majorBidi" w:cstheme="majorBidi"/>
          <w:color w:val="000000"/>
        </w:rPr>
      </w:pPr>
      <w:proofErr w:type="spellStart"/>
      <w:r w:rsidRPr="008C6BE4">
        <w:rPr>
          <w:rFonts w:asciiTheme="majorBidi" w:hAnsiTheme="majorBidi" w:cstheme="majorBidi"/>
          <w:color w:val="000000"/>
        </w:rPr>
        <w:lastRenderedPageBreak/>
        <w:t>Fortea</w:t>
      </w:r>
      <w:proofErr w:type="spellEnd"/>
      <w:r w:rsidRPr="008C6BE4">
        <w:rPr>
          <w:rFonts w:asciiTheme="majorBidi" w:hAnsiTheme="majorBidi" w:cstheme="majorBidi"/>
          <w:color w:val="000000"/>
        </w:rPr>
        <w:t xml:space="preserve"> A, </w:t>
      </w:r>
      <w:proofErr w:type="spellStart"/>
      <w:r w:rsidRPr="008C6BE4">
        <w:rPr>
          <w:rFonts w:asciiTheme="majorBidi" w:hAnsiTheme="majorBidi" w:cstheme="majorBidi"/>
          <w:color w:val="000000"/>
        </w:rPr>
        <w:t>Ilzarbe</w:t>
      </w:r>
      <w:proofErr w:type="spellEnd"/>
      <w:r w:rsidRPr="008C6BE4">
        <w:rPr>
          <w:rFonts w:asciiTheme="majorBidi" w:hAnsiTheme="majorBidi" w:cstheme="majorBidi"/>
          <w:color w:val="000000"/>
        </w:rPr>
        <w:t xml:space="preserve"> D, Espinosa L, </w:t>
      </w:r>
      <w:proofErr w:type="spellStart"/>
      <w:r w:rsidRPr="008C6BE4">
        <w:rPr>
          <w:rFonts w:asciiTheme="majorBidi" w:hAnsiTheme="majorBidi" w:cstheme="majorBidi"/>
          <w:color w:val="000000"/>
        </w:rPr>
        <w:t>Solerdelcoll</w:t>
      </w:r>
      <w:proofErr w:type="spellEnd"/>
      <w:r w:rsidRPr="008C6BE4">
        <w:rPr>
          <w:rFonts w:asciiTheme="majorBidi" w:hAnsiTheme="majorBidi" w:cstheme="majorBidi"/>
          <w:color w:val="000000"/>
        </w:rPr>
        <w:t xml:space="preserve"> M, de Castro C, </w:t>
      </w:r>
      <w:proofErr w:type="spellStart"/>
      <w:r w:rsidRPr="008C6BE4">
        <w:rPr>
          <w:rFonts w:asciiTheme="majorBidi" w:hAnsiTheme="majorBidi" w:cstheme="majorBidi"/>
          <w:color w:val="000000"/>
        </w:rPr>
        <w:t>Oriolo</w:t>
      </w:r>
      <w:proofErr w:type="spellEnd"/>
      <w:r w:rsidRPr="008C6BE4">
        <w:rPr>
          <w:rFonts w:asciiTheme="majorBidi" w:hAnsiTheme="majorBidi" w:cstheme="majorBidi"/>
          <w:color w:val="000000"/>
        </w:rPr>
        <w:t xml:space="preserve"> G, et al. Long-acting injectable atypical antipsychotic use in adolescents: an observational study. J Child </w:t>
      </w:r>
      <w:proofErr w:type="spellStart"/>
      <w:r w:rsidRPr="008C6BE4">
        <w:rPr>
          <w:rFonts w:asciiTheme="majorBidi" w:hAnsiTheme="majorBidi" w:cstheme="majorBidi"/>
          <w:color w:val="000000"/>
        </w:rPr>
        <w:t>Adolesc</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Psychopharmacol</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2018;28:252</w:t>
      </w:r>
      <w:proofErr w:type="gramEnd"/>
      <w:r w:rsidRPr="008C6BE4">
        <w:rPr>
          <w:rFonts w:asciiTheme="majorBidi" w:hAnsiTheme="majorBidi" w:cstheme="majorBidi"/>
          <w:color w:val="000000"/>
        </w:rPr>
        <w:t xml:space="preserve">–7. </w:t>
      </w:r>
    </w:p>
    <w:p w14:paraId="1D1058B9" w14:textId="3FB8A54B" w:rsidR="00B955CE" w:rsidRPr="008C6BE4" w:rsidRDefault="00F3575C" w:rsidP="00E42138">
      <w:pPr>
        <w:pStyle w:val="NormalWeb"/>
        <w:numPr>
          <w:ilvl w:val="0"/>
          <w:numId w:val="8"/>
        </w:numPr>
        <w:ind w:firstLine="0"/>
        <w:jc w:val="both"/>
        <w:rPr>
          <w:rFonts w:asciiTheme="majorBidi" w:hAnsiTheme="majorBidi" w:cstheme="majorBidi"/>
          <w:color w:val="000000"/>
        </w:rPr>
      </w:pPr>
      <w:r>
        <w:rPr>
          <w:rFonts w:asciiTheme="majorBidi" w:hAnsiTheme="majorBidi" w:cstheme="majorBidi"/>
          <w:color w:val="000000"/>
        </w:rPr>
        <w:t xml:space="preserve"> </w:t>
      </w:r>
      <w:r w:rsidR="00B955CE" w:rsidRPr="008C6BE4">
        <w:rPr>
          <w:rFonts w:asciiTheme="majorBidi" w:hAnsiTheme="majorBidi" w:cstheme="majorBidi"/>
          <w:color w:val="000000"/>
        </w:rPr>
        <w:t xml:space="preserve">Lytle S, </w:t>
      </w:r>
      <w:proofErr w:type="spellStart"/>
      <w:r w:rsidR="00B955CE" w:rsidRPr="008C6BE4">
        <w:rPr>
          <w:rFonts w:asciiTheme="majorBidi" w:hAnsiTheme="majorBidi" w:cstheme="majorBidi"/>
          <w:color w:val="000000"/>
        </w:rPr>
        <w:t>McVoy</w:t>
      </w:r>
      <w:proofErr w:type="spellEnd"/>
      <w:r w:rsidR="00B955CE" w:rsidRPr="008C6BE4">
        <w:rPr>
          <w:rFonts w:asciiTheme="majorBidi" w:hAnsiTheme="majorBidi" w:cstheme="majorBidi"/>
          <w:color w:val="000000"/>
        </w:rPr>
        <w:t xml:space="preserve"> M, </w:t>
      </w:r>
      <w:proofErr w:type="spellStart"/>
      <w:r w:rsidR="00B955CE" w:rsidRPr="008C6BE4">
        <w:rPr>
          <w:rFonts w:asciiTheme="majorBidi" w:hAnsiTheme="majorBidi" w:cstheme="majorBidi"/>
          <w:color w:val="000000"/>
        </w:rPr>
        <w:t>Sajatovic</w:t>
      </w:r>
      <w:proofErr w:type="spellEnd"/>
      <w:r w:rsidR="00B955CE" w:rsidRPr="008C6BE4">
        <w:rPr>
          <w:rFonts w:asciiTheme="majorBidi" w:hAnsiTheme="majorBidi" w:cstheme="majorBidi"/>
          <w:color w:val="000000"/>
        </w:rPr>
        <w:t xml:space="preserve"> M. Long-acting injectable antipsychotics in children and adolescents. J Child </w:t>
      </w:r>
      <w:proofErr w:type="spellStart"/>
      <w:r w:rsidR="00B955CE" w:rsidRPr="008C6BE4">
        <w:rPr>
          <w:rFonts w:asciiTheme="majorBidi" w:hAnsiTheme="majorBidi" w:cstheme="majorBidi"/>
          <w:color w:val="000000"/>
        </w:rPr>
        <w:t>Adolesc</w:t>
      </w:r>
      <w:proofErr w:type="spellEnd"/>
      <w:r w:rsidR="00B955CE" w:rsidRPr="008C6BE4">
        <w:rPr>
          <w:rFonts w:asciiTheme="majorBidi" w:hAnsiTheme="majorBidi" w:cstheme="majorBidi"/>
          <w:color w:val="000000"/>
        </w:rPr>
        <w:t xml:space="preserve"> </w:t>
      </w:r>
      <w:proofErr w:type="spellStart"/>
      <w:r w:rsidR="00B955CE" w:rsidRPr="008C6BE4">
        <w:rPr>
          <w:rFonts w:asciiTheme="majorBidi" w:hAnsiTheme="majorBidi" w:cstheme="majorBidi"/>
          <w:color w:val="000000"/>
        </w:rPr>
        <w:t>Psychopharmacol</w:t>
      </w:r>
      <w:proofErr w:type="spellEnd"/>
      <w:r w:rsidR="00B955CE" w:rsidRPr="008C6BE4">
        <w:rPr>
          <w:rFonts w:asciiTheme="majorBidi" w:hAnsiTheme="majorBidi" w:cstheme="majorBidi"/>
          <w:color w:val="000000"/>
        </w:rPr>
        <w:t xml:space="preserve">. </w:t>
      </w:r>
      <w:proofErr w:type="gramStart"/>
      <w:r w:rsidR="00B955CE" w:rsidRPr="008C6BE4">
        <w:rPr>
          <w:rFonts w:asciiTheme="majorBidi" w:hAnsiTheme="majorBidi" w:cstheme="majorBidi"/>
          <w:color w:val="000000"/>
        </w:rPr>
        <w:t>2017;27:2</w:t>
      </w:r>
      <w:proofErr w:type="gramEnd"/>
      <w:r w:rsidR="00B955CE" w:rsidRPr="008C6BE4">
        <w:rPr>
          <w:rFonts w:asciiTheme="majorBidi" w:hAnsiTheme="majorBidi" w:cstheme="majorBidi"/>
          <w:color w:val="000000"/>
        </w:rPr>
        <w:t xml:space="preserve">–9. </w:t>
      </w:r>
    </w:p>
    <w:p w14:paraId="7C074F3A" w14:textId="1CE87312" w:rsidR="00B955CE" w:rsidRPr="008C6BE4" w:rsidRDefault="00B955CE" w:rsidP="00E42138">
      <w:pPr>
        <w:pStyle w:val="NormalWeb"/>
        <w:numPr>
          <w:ilvl w:val="0"/>
          <w:numId w:val="8"/>
        </w:numPr>
        <w:ind w:firstLine="0"/>
        <w:jc w:val="both"/>
        <w:rPr>
          <w:rFonts w:asciiTheme="majorBidi" w:hAnsiTheme="majorBidi" w:cstheme="majorBidi"/>
          <w:color w:val="000000"/>
        </w:rPr>
      </w:pPr>
      <w:proofErr w:type="spellStart"/>
      <w:r w:rsidRPr="008C6BE4">
        <w:rPr>
          <w:rFonts w:asciiTheme="majorBidi" w:hAnsiTheme="majorBidi" w:cstheme="majorBidi"/>
          <w:color w:val="000000"/>
        </w:rPr>
        <w:t>Ceylan</w:t>
      </w:r>
      <w:proofErr w:type="spellEnd"/>
      <w:r w:rsidRPr="008C6BE4">
        <w:rPr>
          <w:rFonts w:asciiTheme="majorBidi" w:hAnsiTheme="majorBidi" w:cstheme="majorBidi"/>
          <w:color w:val="000000"/>
        </w:rPr>
        <w:t xml:space="preserve"> MF, Erdogan B, </w:t>
      </w:r>
      <w:proofErr w:type="spellStart"/>
      <w:r w:rsidRPr="008C6BE4">
        <w:rPr>
          <w:rFonts w:asciiTheme="majorBidi" w:hAnsiTheme="majorBidi" w:cstheme="majorBidi"/>
          <w:color w:val="000000"/>
        </w:rPr>
        <w:t>Tural</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Hesapcioglu</w:t>
      </w:r>
      <w:proofErr w:type="spellEnd"/>
      <w:r w:rsidRPr="008C6BE4">
        <w:rPr>
          <w:rFonts w:asciiTheme="majorBidi" w:hAnsiTheme="majorBidi" w:cstheme="majorBidi"/>
          <w:color w:val="000000"/>
        </w:rPr>
        <w:t xml:space="preserve"> S, Cop E. Effectiveness, adverse effects and drug compliance of long-acting injectable risperidone in children and adolescents. Clin Drug </w:t>
      </w:r>
      <w:proofErr w:type="spellStart"/>
      <w:r w:rsidRPr="008C6BE4">
        <w:rPr>
          <w:rFonts w:asciiTheme="majorBidi" w:hAnsiTheme="majorBidi" w:cstheme="majorBidi"/>
          <w:color w:val="000000"/>
        </w:rPr>
        <w:t>Investig</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2017;37:947</w:t>
      </w:r>
      <w:proofErr w:type="gramEnd"/>
      <w:r w:rsidRPr="008C6BE4">
        <w:rPr>
          <w:rFonts w:asciiTheme="majorBidi" w:hAnsiTheme="majorBidi" w:cstheme="majorBidi"/>
          <w:color w:val="000000"/>
        </w:rPr>
        <w:t>–56</w:t>
      </w:r>
    </w:p>
    <w:p w14:paraId="343BA3D3" w14:textId="2DC67EB5" w:rsidR="00B955CE" w:rsidRPr="008C6BE4" w:rsidRDefault="00B955CE" w:rsidP="00E42138">
      <w:pPr>
        <w:pStyle w:val="NormalWeb"/>
        <w:numPr>
          <w:ilvl w:val="0"/>
          <w:numId w:val="8"/>
        </w:numPr>
        <w:ind w:firstLine="0"/>
        <w:jc w:val="both"/>
        <w:rPr>
          <w:rFonts w:asciiTheme="majorBidi" w:hAnsiTheme="majorBidi" w:cstheme="majorBidi"/>
          <w:color w:val="000000"/>
        </w:rPr>
      </w:pPr>
      <w:r w:rsidRPr="008C6BE4">
        <w:rPr>
          <w:rFonts w:asciiTheme="majorBidi" w:hAnsiTheme="majorBidi" w:cstheme="majorBidi"/>
          <w:color w:val="000000"/>
        </w:rPr>
        <w:t xml:space="preserve">Jacob P, </w:t>
      </w:r>
      <w:proofErr w:type="spellStart"/>
      <w:r w:rsidRPr="008C6BE4">
        <w:rPr>
          <w:rFonts w:asciiTheme="majorBidi" w:hAnsiTheme="majorBidi" w:cstheme="majorBidi"/>
          <w:color w:val="000000"/>
        </w:rPr>
        <w:t>Shere</w:t>
      </w:r>
      <w:proofErr w:type="spellEnd"/>
      <w:r w:rsidRPr="008C6BE4">
        <w:rPr>
          <w:rFonts w:asciiTheme="majorBidi" w:hAnsiTheme="majorBidi" w:cstheme="majorBidi"/>
          <w:color w:val="000000"/>
        </w:rPr>
        <w:t xml:space="preserve"> S, </w:t>
      </w:r>
      <w:proofErr w:type="spellStart"/>
      <w:r w:rsidRPr="008C6BE4">
        <w:rPr>
          <w:rFonts w:asciiTheme="majorBidi" w:hAnsiTheme="majorBidi" w:cstheme="majorBidi"/>
          <w:color w:val="000000"/>
        </w:rPr>
        <w:t>Kommu</w:t>
      </w:r>
      <w:proofErr w:type="spellEnd"/>
      <w:r w:rsidRPr="008C6BE4">
        <w:rPr>
          <w:rFonts w:asciiTheme="majorBidi" w:hAnsiTheme="majorBidi" w:cstheme="majorBidi"/>
          <w:color w:val="000000"/>
        </w:rPr>
        <w:t xml:space="preserve"> JVS. The use of first-generation long-acting injectable antipsychotics in children and adolescents-A retrospective audit from India. Asian J </w:t>
      </w:r>
      <w:proofErr w:type="spellStart"/>
      <w:r w:rsidRPr="008C6BE4">
        <w:rPr>
          <w:rFonts w:asciiTheme="majorBidi" w:hAnsiTheme="majorBidi" w:cstheme="majorBidi"/>
          <w:color w:val="000000"/>
        </w:rPr>
        <w:t>Psychiatr</w:t>
      </w:r>
      <w:proofErr w:type="spellEnd"/>
      <w:r w:rsidRPr="008C6BE4">
        <w:rPr>
          <w:rFonts w:asciiTheme="majorBidi" w:hAnsiTheme="majorBidi" w:cstheme="majorBidi"/>
          <w:color w:val="000000"/>
        </w:rPr>
        <w:t xml:space="preserve">. 2021;61: 102663. </w:t>
      </w:r>
    </w:p>
    <w:p w14:paraId="65CEE9AD" w14:textId="06955839" w:rsidR="00B955CE" w:rsidRPr="008C6BE4" w:rsidRDefault="00B955CE" w:rsidP="00E42138">
      <w:pPr>
        <w:pStyle w:val="NormalWeb"/>
        <w:numPr>
          <w:ilvl w:val="0"/>
          <w:numId w:val="8"/>
        </w:numPr>
        <w:ind w:left="630" w:firstLine="0"/>
        <w:jc w:val="both"/>
        <w:rPr>
          <w:rFonts w:asciiTheme="majorBidi" w:hAnsiTheme="majorBidi" w:cstheme="majorBidi"/>
          <w:color w:val="000000"/>
        </w:rPr>
      </w:pPr>
      <w:proofErr w:type="spellStart"/>
      <w:r w:rsidRPr="008C6BE4">
        <w:rPr>
          <w:rFonts w:asciiTheme="majorBidi" w:hAnsiTheme="majorBidi" w:cstheme="majorBidi"/>
          <w:color w:val="000000"/>
        </w:rPr>
        <w:t>Petrić</w:t>
      </w:r>
      <w:proofErr w:type="spellEnd"/>
      <w:r w:rsidRPr="008C6BE4">
        <w:rPr>
          <w:rFonts w:asciiTheme="majorBidi" w:hAnsiTheme="majorBidi" w:cstheme="majorBidi"/>
          <w:color w:val="000000"/>
        </w:rPr>
        <w:t xml:space="preserve"> D, </w:t>
      </w:r>
      <w:proofErr w:type="spellStart"/>
      <w:r w:rsidRPr="008C6BE4">
        <w:rPr>
          <w:rFonts w:asciiTheme="majorBidi" w:hAnsiTheme="majorBidi" w:cstheme="majorBidi"/>
          <w:color w:val="000000"/>
        </w:rPr>
        <w:t>Rački</w:t>
      </w:r>
      <w:proofErr w:type="spellEnd"/>
      <w:r w:rsidRPr="008C6BE4">
        <w:rPr>
          <w:rFonts w:asciiTheme="majorBidi" w:hAnsiTheme="majorBidi" w:cstheme="majorBidi"/>
          <w:color w:val="000000"/>
        </w:rPr>
        <w:t xml:space="preserve"> V, </w:t>
      </w:r>
      <w:proofErr w:type="spellStart"/>
      <w:r w:rsidRPr="008C6BE4">
        <w:rPr>
          <w:rFonts w:asciiTheme="majorBidi" w:hAnsiTheme="majorBidi" w:cstheme="majorBidi"/>
          <w:color w:val="000000"/>
        </w:rPr>
        <w:t>Gačo</w:t>
      </w:r>
      <w:proofErr w:type="spellEnd"/>
      <w:r w:rsidRPr="008C6BE4">
        <w:rPr>
          <w:rFonts w:asciiTheme="majorBidi" w:hAnsiTheme="majorBidi" w:cstheme="majorBidi"/>
          <w:color w:val="000000"/>
        </w:rPr>
        <w:t xml:space="preserve"> N, </w:t>
      </w:r>
      <w:proofErr w:type="spellStart"/>
      <w:r w:rsidRPr="008C6BE4">
        <w:rPr>
          <w:rFonts w:asciiTheme="majorBidi" w:hAnsiTheme="majorBidi" w:cstheme="majorBidi"/>
          <w:color w:val="000000"/>
        </w:rPr>
        <w:t>Kaštelan</w:t>
      </w:r>
      <w:proofErr w:type="spellEnd"/>
      <w:r w:rsidRPr="008C6BE4">
        <w:rPr>
          <w:rFonts w:asciiTheme="majorBidi" w:hAnsiTheme="majorBidi" w:cstheme="majorBidi"/>
          <w:color w:val="000000"/>
        </w:rPr>
        <w:t xml:space="preserve"> A, </w:t>
      </w:r>
      <w:proofErr w:type="spellStart"/>
      <w:r w:rsidRPr="008C6BE4">
        <w:rPr>
          <w:rFonts w:asciiTheme="majorBidi" w:hAnsiTheme="majorBidi" w:cstheme="majorBidi"/>
          <w:color w:val="000000"/>
        </w:rPr>
        <w:t>Graovac</w:t>
      </w:r>
      <w:proofErr w:type="spellEnd"/>
      <w:r w:rsidRPr="008C6BE4">
        <w:rPr>
          <w:rFonts w:asciiTheme="majorBidi" w:hAnsiTheme="majorBidi" w:cstheme="majorBidi"/>
          <w:color w:val="000000"/>
        </w:rPr>
        <w:t xml:space="preserve"> M. Retrospective analysis of the effectiveness and tolerability of long-acting paliperidone palmitate antipsychotic in adolescent first-episode schizophrenia patients. J </w:t>
      </w:r>
      <w:r w:rsidRPr="008C6BE4">
        <w:rPr>
          <w:rFonts w:asciiTheme="majorBidi" w:hAnsiTheme="majorBidi" w:cstheme="majorBidi"/>
          <w:color w:val="000000"/>
        </w:rPr>
        <w:t xml:space="preserve">Child </w:t>
      </w:r>
      <w:proofErr w:type="spellStart"/>
      <w:r w:rsidRPr="008C6BE4">
        <w:rPr>
          <w:rFonts w:asciiTheme="majorBidi" w:hAnsiTheme="majorBidi" w:cstheme="majorBidi"/>
          <w:color w:val="000000"/>
        </w:rPr>
        <w:t>Adolesc</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Psychopharmacol</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2019;29:197</w:t>
      </w:r>
      <w:proofErr w:type="gramEnd"/>
      <w:r w:rsidRPr="008C6BE4">
        <w:rPr>
          <w:rFonts w:asciiTheme="majorBidi" w:hAnsiTheme="majorBidi" w:cstheme="majorBidi"/>
          <w:color w:val="000000"/>
        </w:rPr>
        <w:t xml:space="preserve">–204. </w:t>
      </w:r>
    </w:p>
    <w:p w14:paraId="419DC561" w14:textId="6C6891CC" w:rsidR="00B955CE" w:rsidRPr="008C6BE4" w:rsidRDefault="00B955CE" w:rsidP="00E42138">
      <w:pPr>
        <w:pStyle w:val="NormalWeb"/>
        <w:numPr>
          <w:ilvl w:val="0"/>
          <w:numId w:val="8"/>
        </w:numPr>
        <w:jc w:val="both"/>
        <w:rPr>
          <w:rFonts w:asciiTheme="majorBidi" w:hAnsiTheme="majorBidi" w:cstheme="majorBidi"/>
          <w:color w:val="000000"/>
        </w:rPr>
      </w:pPr>
      <w:proofErr w:type="spellStart"/>
      <w:r w:rsidRPr="008C6BE4">
        <w:rPr>
          <w:rFonts w:asciiTheme="majorBidi" w:hAnsiTheme="majorBidi" w:cstheme="majorBidi"/>
          <w:color w:val="000000"/>
        </w:rPr>
        <w:t>Solfanelli</w:t>
      </w:r>
      <w:proofErr w:type="spellEnd"/>
      <w:r w:rsidRPr="008C6BE4">
        <w:rPr>
          <w:rFonts w:asciiTheme="majorBidi" w:hAnsiTheme="majorBidi" w:cstheme="majorBidi"/>
          <w:color w:val="000000"/>
        </w:rPr>
        <w:t xml:space="preserve"> A, </w:t>
      </w:r>
      <w:proofErr w:type="spellStart"/>
      <w:r w:rsidRPr="008C6BE4">
        <w:rPr>
          <w:rFonts w:asciiTheme="majorBidi" w:hAnsiTheme="majorBidi" w:cstheme="majorBidi"/>
          <w:color w:val="000000"/>
        </w:rPr>
        <w:t>Curto</w:t>
      </w:r>
      <w:proofErr w:type="spellEnd"/>
      <w:r w:rsidRPr="008C6BE4">
        <w:rPr>
          <w:rFonts w:asciiTheme="majorBidi" w:hAnsiTheme="majorBidi" w:cstheme="majorBidi"/>
          <w:color w:val="000000"/>
        </w:rPr>
        <w:t xml:space="preserve"> M, Dimitri-Valente G, </w:t>
      </w:r>
      <w:proofErr w:type="spellStart"/>
      <w:r w:rsidRPr="008C6BE4">
        <w:rPr>
          <w:rFonts w:asciiTheme="majorBidi" w:hAnsiTheme="majorBidi" w:cstheme="majorBidi"/>
          <w:color w:val="000000"/>
        </w:rPr>
        <w:t>Kotzalidis</w:t>
      </w:r>
      <w:proofErr w:type="spellEnd"/>
      <w:r w:rsidRPr="008C6BE4">
        <w:rPr>
          <w:rFonts w:asciiTheme="majorBidi" w:hAnsiTheme="majorBidi" w:cstheme="majorBidi"/>
          <w:color w:val="000000"/>
        </w:rPr>
        <w:t xml:space="preserve"> GD, </w:t>
      </w:r>
      <w:proofErr w:type="spellStart"/>
      <w:r w:rsidRPr="008C6BE4">
        <w:rPr>
          <w:rFonts w:asciiTheme="majorBidi" w:hAnsiTheme="majorBidi" w:cstheme="majorBidi"/>
          <w:color w:val="000000"/>
        </w:rPr>
        <w:t>Gasperoni</w:t>
      </w:r>
      <w:proofErr w:type="spellEnd"/>
      <w:r w:rsidRPr="008C6BE4">
        <w:rPr>
          <w:rFonts w:asciiTheme="majorBidi" w:hAnsiTheme="majorBidi" w:cstheme="majorBidi"/>
          <w:color w:val="000000"/>
        </w:rPr>
        <w:t xml:space="preserve"> C, Sani G, et al. Skin rash occurring with olanzapine pamoate, but not with oral olanzapine, in a male with juvenile idiopathic arthritis. J Child </w:t>
      </w:r>
      <w:proofErr w:type="spellStart"/>
      <w:r w:rsidRPr="008C6BE4">
        <w:rPr>
          <w:rFonts w:asciiTheme="majorBidi" w:hAnsiTheme="majorBidi" w:cstheme="majorBidi"/>
          <w:color w:val="000000"/>
        </w:rPr>
        <w:t>Adolesc</w:t>
      </w:r>
      <w:proofErr w:type="spellEnd"/>
      <w:r w:rsidRPr="008C6BE4">
        <w:rPr>
          <w:rFonts w:asciiTheme="majorBidi" w:hAnsiTheme="majorBidi" w:cstheme="majorBidi"/>
          <w:color w:val="000000"/>
        </w:rPr>
        <w:t xml:space="preserve"> </w:t>
      </w:r>
      <w:proofErr w:type="spellStart"/>
      <w:r w:rsidRPr="008C6BE4">
        <w:rPr>
          <w:rFonts w:asciiTheme="majorBidi" w:hAnsiTheme="majorBidi" w:cstheme="majorBidi"/>
          <w:color w:val="000000"/>
        </w:rPr>
        <w:t>Psychopharmacol</w:t>
      </w:r>
      <w:proofErr w:type="spellEnd"/>
      <w:r w:rsidRPr="008C6BE4">
        <w:rPr>
          <w:rFonts w:asciiTheme="majorBidi" w:hAnsiTheme="majorBidi" w:cstheme="majorBidi"/>
          <w:color w:val="000000"/>
        </w:rPr>
        <w:t xml:space="preserve">. 2013;23(3):232–4. </w:t>
      </w:r>
    </w:p>
    <w:p w14:paraId="6F877872" w14:textId="1B4B7D5B" w:rsidR="00B955CE" w:rsidRDefault="00B955CE" w:rsidP="00E42138">
      <w:pPr>
        <w:pStyle w:val="NormalWeb"/>
        <w:numPr>
          <w:ilvl w:val="0"/>
          <w:numId w:val="8"/>
        </w:numPr>
        <w:jc w:val="both"/>
        <w:rPr>
          <w:rFonts w:asciiTheme="majorBidi" w:hAnsiTheme="majorBidi" w:cstheme="majorBidi"/>
          <w:color w:val="000000"/>
        </w:rPr>
      </w:pPr>
      <w:r w:rsidRPr="008C6BE4">
        <w:rPr>
          <w:rFonts w:asciiTheme="majorBidi" w:hAnsiTheme="majorBidi" w:cstheme="majorBidi"/>
          <w:color w:val="000000"/>
        </w:rPr>
        <w:t>Mirza H, Harding D, Al-</w:t>
      </w:r>
      <w:proofErr w:type="spellStart"/>
      <w:r w:rsidRPr="008C6BE4">
        <w:rPr>
          <w:rFonts w:asciiTheme="majorBidi" w:hAnsiTheme="majorBidi" w:cstheme="majorBidi"/>
          <w:color w:val="000000"/>
        </w:rPr>
        <w:t>Balushi</w:t>
      </w:r>
      <w:proofErr w:type="spellEnd"/>
      <w:r w:rsidRPr="008C6BE4">
        <w:rPr>
          <w:rFonts w:asciiTheme="majorBidi" w:hAnsiTheme="majorBidi" w:cstheme="majorBidi"/>
          <w:color w:val="000000"/>
        </w:rPr>
        <w:t xml:space="preserve"> N. Paliperidone palmitate-induced delirium in an adolescent with schizophrenia: case report. Sultan Qaboos Univ Med J. 2018;18(2</w:t>
      </w:r>
      <w:proofErr w:type="gramStart"/>
      <w:r w:rsidRPr="008C6BE4">
        <w:rPr>
          <w:rFonts w:asciiTheme="majorBidi" w:hAnsiTheme="majorBidi" w:cstheme="majorBidi"/>
          <w:color w:val="000000"/>
        </w:rPr>
        <w:t>):e</w:t>
      </w:r>
      <w:proofErr w:type="gramEnd"/>
      <w:r w:rsidRPr="008C6BE4">
        <w:rPr>
          <w:rFonts w:asciiTheme="majorBidi" w:hAnsiTheme="majorBidi" w:cstheme="majorBidi"/>
          <w:color w:val="000000"/>
        </w:rPr>
        <w:t xml:space="preserve">208–10. </w:t>
      </w:r>
    </w:p>
    <w:p w14:paraId="5F6941A7" w14:textId="1F23644D" w:rsidR="00B955CE" w:rsidRPr="009740F4" w:rsidRDefault="00B955CE" w:rsidP="00E42138">
      <w:pPr>
        <w:pStyle w:val="NormalWeb"/>
        <w:numPr>
          <w:ilvl w:val="0"/>
          <w:numId w:val="8"/>
        </w:numPr>
        <w:ind w:firstLine="0"/>
        <w:jc w:val="both"/>
        <w:rPr>
          <w:rFonts w:asciiTheme="majorBidi" w:hAnsiTheme="majorBidi" w:cstheme="majorBidi"/>
          <w:color w:val="000000"/>
        </w:rPr>
      </w:pPr>
      <w:proofErr w:type="spellStart"/>
      <w:r w:rsidRPr="009740F4">
        <w:rPr>
          <w:rFonts w:asciiTheme="majorBidi" w:hAnsiTheme="majorBidi" w:cstheme="majorBidi"/>
          <w:color w:val="000000"/>
        </w:rPr>
        <w:t>Fàbrega</w:t>
      </w:r>
      <w:proofErr w:type="spellEnd"/>
      <w:r w:rsidRPr="009740F4">
        <w:rPr>
          <w:rFonts w:asciiTheme="majorBidi" w:hAnsiTheme="majorBidi" w:cstheme="majorBidi"/>
          <w:color w:val="000000"/>
        </w:rPr>
        <w:t xml:space="preserve"> M, </w:t>
      </w:r>
      <w:proofErr w:type="spellStart"/>
      <w:r w:rsidRPr="009740F4">
        <w:rPr>
          <w:rFonts w:asciiTheme="majorBidi" w:hAnsiTheme="majorBidi" w:cstheme="majorBidi"/>
          <w:color w:val="000000"/>
        </w:rPr>
        <w:t>Sugranyes</w:t>
      </w:r>
      <w:proofErr w:type="spellEnd"/>
      <w:r w:rsidRPr="009740F4">
        <w:rPr>
          <w:rFonts w:asciiTheme="majorBidi" w:hAnsiTheme="majorBidi" w:cstheme="majorBidi"/>
          <w:color w:val="000000"/>
        </w:rPr>
        <w:t xml:space="preserve"> G, </w:t>
      </w:r>
      <w:proofErr w:type="spellStart"/>
      <w:r w:rsidRPr="009740F4">
        <w:rPr>
          <w:rFonts w:asciiTheme="majorBidi" w:hAnsiTheme="majorBidi" w:cstheme="majorBidi"/>
          <w:color w:val="000000"/>
        </w:rPr>
        <w:t>Baeza</w:t>
      </w:r>
      <w:proofErr w:type="spellEnd"/>
      <w:r w:rsidRPr="009740F4">
        <w:rPr>
          <w:rFonts w:asciiTheme="majorBidi" w:hAnsiTheme="majorBidi" w:cstheme="majorBidi"/>
          <w:color w:val="000000"/>
        </w:rPr>
        <w:t xml:space="preserve"> I. Two cases of long-acting paliperidone in adolescence. </w:t>
      </w:r>
      <w:proofErr w:type="spellStart"/>
      <w:r w:rsidRPr="009740F4">
        <w:rPr>
          <w:rFonts w:asciiTheme="majorBidi" w:hAnsiTheme="majorBidi" w:cstheme="majorBidi"/>
          <w:color w:val="000000"/>
        </w:rPr>
        <w:t>Ther</w:t>
      </w:r>
      <w:proofErr w:type="spellEnd"/>
      <w:r w:rsidRPr="009740F4">
        <w:rPr>
          <w:rFonts w:asciiTheme="majorBidi" w:hAnsiTheme="majorBidi" w:cstheme="majorBidi"/>
          <w:color w:val="000000"/>
        </w:rPr>
        <w:t xml:space="preserve"> Adv </w:t>
      </w:r>
      <w:proofErr w:type="spellStart"/>
      <w:r w:rsidRPr="009740F4">
        <w:rPr>
          <w:rFonts w:asciiTheme="majorBidi" w:hAnsiTheme="majorBidi" w:cstheme="majorBidi"/>
          <w:color w:val="000000"/>
        </w:rPr>
        <w:t>Psychopharmacol</w:t>
      </w:r>
      <w:proofErr w:type="spellEnd"/>
      <w:r w:rsidRPr="009740F4">
        <w:rPr>
          <w:rFonts w:asciiTheme="majorBidi" w:hAnsiTheme="majorBidi" w:cstheme="majorBidi"/>
          <w:color w:val="000000"/>
        </w:rPr>
        <w:t xml:space="preserve">. </w:t>
      </w:r>
      <w:proofErr w:type="gramStart"/>
      <w:r w:rsidRPr="009740F4">
        <w:rPr>
          <w:rFonts w:asciiTheme="majorBidi" w:hAnsiTheme="majorBidi" w:cstheme="majorBidi"/>
          <w:color w:val="000000"/>
        </w:rPr>
        <w:t>2015;5:304</w:t>
      </w:r>
      <w:proofErr w:type="gramEnd"/>
      <w:r w:rsidRPr="009740F4">
        <w:rPr>
          <w:rFonts w:asciiTheme="majorBidi" w:hAnsiTheme="majorBidi" w:cstheme="majorBidi"/>
          <w:color w:val="000000"/>
        </w:rPr>
        <w:t xml:space="preserve">–6. </w:t>
      </w:r>
    </w:p>
    <w:p w14:paraId="3B743753" w14:textId="77777777" w:rsidR="00825FAB" w:rsidRDefault="00B955CE" w:rsidP="00E42138">
      <w:pPr>
        <w:pStyle w:val="NormalWeb"/>
        <w:numPr>
          <w:ilvl w:val="0"/>
          <w:numId w:val="8"/>
        </w:numPr>
        <w:ind w:left="450" w:firstLine="0"/>
        <w:jc w:val="both"/>
        <w:rPr>
          <w:rFonts w:asciiTheme="majorBidi" w:hAnsiTheme="majorBidi" w:cstheme="majorBidi"/>
          <w:color w:val="000000"/>
        </w:rPr>
      </w:pPr>
      <w:r w:rsidRPr="008C6BE4">
        <w:rPr>
          <w:rFonts w:asciiTheme="majorBidi" w:hAnsiTheme="majorBidi" w:cstheme="majorBidi"/>
          <w:color w:val="000000"/>
        </w:rPr>
        <w:t xml:space="preserve">McInnis P, </w:t>
      </w:r>
      <w:proofErr w:type="spellStart"/>
      <w:r w:rsidRPr="008C6BE4">
        <w:rPr>
          <w:rFonts w:asciiTheme="majorBidi" w:hAnsiTheme="majorBidi" w:cstheme="majorBidi"/>
          <w:color w:val="000000"/>
        </w:rPr>
        <w:t>Kasinathan</w:t>
      </w:r>
      <w:proofErr w:type="spellEnd"/>
      <w:r w:rsidRPr="008C6BE4">
        <w:rPr>
          <w:rFonts w:asciiTheme="majorBidi" w:hAnsiTheme="majorBidi" w:cstheme="majorBidi"/>
          <w:color w:val="000000"/>
        </w:rPr>
        <w:t xml:space="preserve"> J. Combination long-acting injectable </w:t>
      </w:r>
    </w:p>
    <w:p w14:paraId="4F4C0065" w14:textId="76D3EE91" w:rsidR="00B955CE" w:rsidRPr="008C6BE4" w:rsidRDefault="00B955CE" w:rsidP="00E42138">
      <w:pPr>
        <w:pStyle w:val="NormalWeb"/>
        <w:numPr>
          <w:ilvl w:val="0"/>
          <w:numId w:val="8"/>
        </w:numPr>
        <w:tabs>
          <w:tab w:val="left" w:pos="720"/>
        </w:tabs>
        <w:ind w:firstLine="0"/>
        <w:jc w:val="both"/>
        <w:rPr>
          <w:rFonts w:asciiTheme="majorBidi" w:hAnsiTheme="majorBidi" w:cstheme="majorBidi"/>
          <w:color w:val="000000"/>
        </w:rPr>
      </w:pPr>
      <w:r w:rsidRPr="008C6BE4">
        <w:rPr>
          <w:rFonts w:asciiTheme="majorBidi" w:hAnsiTheme="majorBidi" w:cstheme="majorBidi"/>
          <w:color w:val="000000"/>
        </w:rPr>
        <w:t xml:space="preserve">(LAI) antipsychotic medication in adolescents with severe psychosis and aggression: a case series. </w:t>
      </w:r>
      <w:proofErr w:type="spellStart"/>
      <w:r w:rsidRPr="008C6BE4">
        <w:rPr>
          <w:rFonts w:asciiTheme="majorBidi" w:hAnsiTheme="majorBidi" w:cstheme="majorBidi"/>
          <w:color w:val="000000"/>
        </w:rPr>
        <w:t>Australas</w:t>
      </w:r>
      <w:proofErr w:type="spellEnd"/>
      <w:r w:rsidRPr="008C6BE4">
        <w:rPr>
          <w:rFonts w:asciiTheme="majorBidi" w:hAnsiTheme="majorBidi" w:cstheme="majorBidi"/>
          <w:color w:val="000000"/>
        </w:rPr>
        <w:t xml:space="preserve"> Psychiatry. 2019;27(2):160–4. </w:t>
      </w:r>
    </w:p>
    <w:p w14:paraId="4B43C205" w14:textId="2850C36D" w:rsidR="00B955CE" w:rsidRPr="008C6BE4" w:rsidRDefault="00B955CE" w:rsidP="00E42138">
      <w:pPr>
        <w:pStyle w:val="NormalWeb"/>
        <w:numPr>
          <w:ilvl w:val="0"/>
          <w:numId w:val="8"/>
        </w:numPr>
        <w:tabs>
          <w:tab w:val="left" w:pos="360"/>
        </w:tabs>
        <w:ind w:left="540" w:firstLine="0"/>
        <w:jc w:val="both"/>
        <w:rPr>
          <w:rFonts w:asciiTheme="majorBidi" w:hAnsiTheme="majorBidi" w:cstheme="majorBidi"/>
          <w:color w:val="000000"/>
        </w:rPr>
      </w:pPr>
      <w:r w:rsidRPr="008C6BE4">
        <w:rPr>
          <w:rFonts w:asciiTheme="majorBidi" w:hAnsiTheme="majorBidi" w:cstheme="majorBidi"/>
          <w:color w:val="000000"/>
        </w:rPr>
        <w:t xml:space="preserve">Pope S, </w:t>
      </w:r>
      <w:proofErr w:type="spellStart"/>
      <w:r w:rsidRPr="008C6BE4">
        <w:rPr>
          <w:rFonts w:asciiTheme="majorBidi" w:hAnsiTheme="majorBidi" w:cstheme="majorBidi"/>
          <w:color w:val="000000"/>
        </w:rPr>
        <w:t>Zaraa</w:t>
      </w:r>
      <w:proofErr w:type="spellEnd"/>
      <w:r w:rsidRPr="008C6BE4">
        <w:rPr>
          <w:rFonts w:asciiTheme="majorBidi" w:hAnsiTheme="majorBidi" w:cstheme="majorBidi"/>
          <w:color w:val="000000"/>
        </w:rPr>
        <w:t xml:space="preserve"> SG. Efficacy of long-acting injectable antipsychotics in adolescents. J Child </w:t>
      </w:r>
      <w:proofErr w:type="spellStart"/>
      <w:r w:rsidRPr="008C6BE4">
        <w:rPr>
          <w:rFonts w:asciiTheme="majorBidi" w:hAnsiTheme="majorBidi" w:cstheme="majorBidi"/>
          <w:color w:val="000000"/>
        </w:rPr>
        <w:t>Adolesc</w:t>
      </w:r>
      <w:proofErr w:type="spellEnd"/>
      <w:r w:rsidRPr="008C6BE4">
        <w:rPr>
          <w:rFonts w:asciiTheme="majorBidi" w:hAnsiTheme="majorBidi" w:cstheme="majorBidi"/>
          <w:color w:val="000000"/>
        </w:rPr>
        <w:t xml:space="preserve"> </w:t>
      </w:r>
      <w:r w:rsidR="00F3575C">
        <w:rPr>
          <w:rFonts w:asciiTheme="majorBidi" w:hAnsiTheme="majorBidi" w:cstheme="majorBidi"/>
          <w:color w:val="000000"/>
        </w:rPr>
        <w:t xml:space="preserve">  </w:t>
      </w:r>
      <w:proofErr w:type="spellStart"/>
      <w:r w:rsidRPr="008C6BE4">
        <w:rPr>
          <w:rFonts w:asciiTheme="majorBidi" w:hAnsiTheme="majorBidi" w:cstheme="majorBidi"/>
          <w:color w:val="000000"/>
        </w:rPr>
        <w:t>Psychopharmacol</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2016;26:391</w:t>
      </w:r>
      <w:proofErr w:type="gramEnd"/>
      <w:r w:rsidRPr="008C6BE4">
        <w:rPr>
          <w:rFonts w:asciiTheme="majorBidi" w:hAnsiTheme="majorBidi" w:cstheme="majorBidi"/>
          <w:color w:val="000000"/>
        </w:rPr>
        <w:t xml:space="preserve">–4. </w:t>
      </w:r>
    </w:p>
    <w:p w14:paraId="455AFD16" w14:textId="77777777" w:rsidR="00825FAB" w:rsidRDefault="00825FAB" w:rsidP="00E42138">
      <w:pPr>
        <w:pStyle w:val="NormalWeb"/>
        <w:numPr>
          <w:ilvl w:val="0"/>
          <w:numId w:val="8"/>
        </w:numPr>
        <w:ind w:firstLine="0"/>
        <w:jc w:val="both"/>
        <w:rPr>
          <w:rFonts w:asciiTheme="majorBidi" w:hAnsiTheme="majorBidi" w:cstheme="majorBidi"/>
          <w:color w:val="000000"/>
        </w:rPr>
        <w:sectPr w:rsidR="00825FAB" w:rsidSect="00ED39AC">
          <w:type w:val="continuous"/>
          <w:pgSz w:w="12240" w:h="15840" w:code="1"/>
          <w:pgMar w:top="1350" w:right="990" w:bottom="1440" w:left="1620" w:header="720" w:footer="720" w:gutter="0"/>
          <w:cols w:num="2" w:space="450"/>
          <w:docGrid w:linePitch="360"/>
        </w:sectPr>
      </w:pPr>
    </w:p>
    <w:p w14:paraId="361694CD" w14:textId="45F439D2" w:rsidR="00F020B3" w:rsidRPr="008C6BE4" w:rsidRDefault="00B955CE" w:rsidP="00E42138">
      <w:pPr>
        <w:pStyle w:val="NormalWeb"/>
        <w:numPr>
          <w:ilvl w:val="0"/>
          <w:numId w:val="8"/>
        </w:numPr>
        <w:ind w:firstLine="0"/>
        <w:jc w:val="both"/>
        <w:rPr>
          <w:rFonts w:asciiTheme="majorBidi" w:hAnsiTheme="majorBidi" w:cstheme="majorBidi"/>
          <w:color w:val="000000"/>
        </w:rPr>
      </w:pPr>
      <w:r w:rsidRPr="008C6BE4">
        <w:rPr>
          <w:rFonts w:asciiTheme="majorBidi" w:hAnsiTheme="majorBidi" w:cstheme="majorBidi"/>
          <w:color w:val="000000"/>
        </w:rPr>
        <w:t xml:space="preserve">Saucedo E, Carranza F, Guerrero AF, García-Cervantes KI, Álvarez Villalobos NA, </w:t>
      </w:r>
      <w:proofErr w:type="spellStart"/>
      <w:r w:rsidRPr="008C6BE4">
        <w:rPr>
          <w:rFonts w:asciiTheme="majorBidi" w:hAnsiTheme="majorBidi" w:cstheme="majorBidi"/>
          <w:color w:val="000000"/>
        </w:rPr>
        <w:t>Acuña</w:t>
      </w:r>
      <w:proofErr w:type="spellEnd"/>
      <w:r w:rsidRPr="008C6BE4">
        <w:rPr>
          <w:rFonts w:asciiTheme="majorBidi" w:hAnsiTheme="majorBidi" w:cstheme="majorBidi"/>
          <w:color w:val="000000"/>
        </w:rPr>
        <w:t xml:space="preserve"> VD, et al. Preliminary efficacy and tolerability profiles of first versus second-generation Long-Acting Injectable Antipsychotics in schizophrenia: A systematic review and meta-analysis. J </w:t>
      </w:r>
      <w:proofErr w:type="spellStart"/>
      <w:r w:rsidRPr="008C6BE4">
        <w:rPr>
          <w:rFonts w:asciiTheme="majorBidi" w:hAnsiTheme="majorBidi" w:cstheme="majorBidi"/>
          <w:color w:val="000000"/>
        </w:rPr>
        <w:t>Psychiatr</w:t>
      </w:r>
      <w:proofErr w:type="spellEnd"/>
      <w:r w:rsidRPr="008C6BE4">
        <w:rPr>
          <w:rFonts w:asciiTheme="majorBidi" w:hAnsiTheme="majorBidi" w:cstheme="majorBidi"/>
          <w:color w:val="000000"/>
        </w:rPr>
        <w:t xml:space="preserve"> Res. </w:t>
      </w:r>
      <w:proofErr w:type="gramStart"/>
      <w:r w:rsidRPr="008C6BE4">
        <w:rPr>
          <w:rFonts w:asciiTheme="majorBidi" w:hAnsiTheme="majorBidi" w:cstheme="majorBidi"/>
          <w:color w:val="000000"/>
        </w:rPr>
        <w:t>2020;129:222</w:t>
      </w:r>
      <w:proofErr w:type="gramEnd"/>
      <w:r w:rsidRPr="008C6BE4">
        <w:rPr>
          <w:rFonts w:asciiTheme="majorBidi" w:hAnsiTheme="majorBidi" w:cstheme="majorBidi"/>
          <w:color w:val="000000"/>
        </w:rPr>
        <w:t>–33.</w:t>
      </w:r>
    </w:p>
    <w:p w14:paraId="42426CC4" w14:textId="36A5E836" w:rsidR="00B955CE" w:rsidRDefault="00B955CE" w:rsidP="00E42138">
      <w:pPr>
        <w:pStyle w:val="NormalWeb"/>
        <w:numPr>
          <w:ilvl w:val="0"/>
          <w:numId w:val="8"/>
        </w:numPr>
        <w:ind w:firstLine="0"/>
        <w:jc w:val="both"/>
        <w:rPr>
          <w:rFonts w:asciiTheme="majorBidi" w:hAnsiTheme="majorBidi" w:cstheme="majorBidi"/>
          <w:color w:val="000000"/>
        </w:rPr>
      </w:pPr>
      <w:r w:rsidRPr="008C6BE4">
        <w:rPr>
          <w:rFonts w:asciiTheme="majorBidi" w:hAnsiTheme="majorBidi" w:cstheme="majorBidi"/>
          <w:color w:val="000000"/>
        </w:rPr>
        <w:t xml:space="preserve">Taipale H, </w:t>
      </w:r>
      <w:proofErr w:type="spellStart"/>
      <w:r w:rsidRPr="008C6BE4">
        <w:rPr>
          <w:rFonts w:asciiTheme="majorBidi" w:hAnsiTheme="majorBidi" w:cstheme="majorBidi"/>
          <w:color w:val="000000"/>
        </w:rPr>
        <w:t>Mittendorfer-Rutz</w:t>
      </w:r>
      <w:proofErr w:type="spellEnd"/>
      <w:r w:rsidRPr="008C6BE4">
        <w:rPr>
          <w:rFonts w:asciiTheme="majorBidi" w:hAnsiTheme="majorBidi" w:cstheme="majorBidi"/>
          <w:color w:val="000000"/>
        </w:rPr>
        <w:t xml:space="preserve"> E, Alexanderson K, </w:t>
      </w:r>
      <w:proofErr w:type="spellStart"/>
      <w:r w:rsidRPr="008C6BE4">
        <w:rPr>
          <w:rFonts w:asciiTheme="majorBidi" w:hAnsiTheme="majorBidi" w:cstheme="majorBidi"/>
          <w:color w:val="000000"/>
        </w:rPr>
        <w:t>Majak</w:t>
      </w:r>
      <w:proofErr w:type="spellEnd"/>
      <w:r w:rsidRPr="008C6BE4">
        <w:rPr>
          <w:rFonts w:asciiTheme="majorBidi" w:hAnsiTheme="majorBidi" w:cstheme="majorBidi"/>
          <w:color w:val="000000"/>
        </w:rPr>
        <w:t xml:space="preserve"> M, </w:t>
      </w:r>
      <w:proofErr w:type="spellStart"/>
      <w:r w:rsidRPr="008C6BE4">
        <w:rPr>
          <w:rFonts w:asciiTheme="majorBidi" w:hAnsiTheme="majorBidi" w:cstheme="majorBidi"/>
          <w:color w:val="000000"/>
        </w:rPr>
        <w:t>Mehtälä</w:t>
      </w:r>
      <w:proofErr w:type="spellEnd"/>
      <w:r w:rsidRPr="008C6BE4">
        <w:rPr>
          <w:rFonts w:asciiTheme="majorBidi" w:hAnsiTheme="majorBidi" w:cstheme="majorBidi"/>
          <w:color w:val="000000"/>
        </w:rPr>
        <w:t xml:space="preserve"> J, </w:t>
      </w:r>
      <w:proofErr w:type="spellStart"/>
      <w:r w:rsidRPr="008C6BE4">
        <w:rPr>
          <w:rFonts w:asciiTheme="majorBidi" w:hAnsiTheme="majorBidi" w:cstheme="majorBidi"/>
          <w:color w:val="000000"/>
        </w:rPr>
        <w:t>Hoti</w:t>
      </w:r>
      <w:proofErr w:type="spellEnd"/>
      <w:r w:rsidRPr="008C6BE4">
        <w:rPr>
          <w:rFonts w:asciiTheme="majorBidi" w:hAnsiTheme="majorBidi" w:cstheme="majorBidi"/>
          <w:color w:val="000000"/>
        </w:rPr>
        <w:t xml:space="preserve"> F, et al. Antipsychotics and mortality in a nationwide cohort of 29,823 patients with schizophrenia. </w:t>
      </w:r>
      <w:proofErr w:type="spellStart"/>
      <w:r w:rsidRPr="008C6BE4">
        <w:rPr>
          <w:rFonts w:asciiTheme="majorBidi" w:hAnsiTheme="majorBidi" w:cstheme="majorBidi"/>
          <w:color w:val="000000"/>
        </w:rPr>
        <w:t>Schizophr</w:t>
      </w:r>
      <w:proofErr w:type="spellEnd"/>
      <w:r w:rsidRPr="008C6BE4">
        <w:rPr>
          <w:rFonts w:asciiTheme="majorBidi" w:hAnsiTheme="majorBidi" w:cstheme="majorBidi"/>
          <w:color w:val="000000"/>
        </w:rPr>
        <w:t xml:space="preserve"> Res. </w:t>
      </w:r>
      <w:proofErr w:type="gramStart"/>
      <w:r w:rsidRPr="008C6BE4">
        <w:rPr>
          <w:rFonts w:asciiTheme="majorBidi" w:hAnsiTheme="majorBidi" w:cstheme="majorBidi"/>
          <w:color w:val="000000"/>
        </w:rPr>
        <w:t>2018;197:274</w:t>
      </w:r>
      <w:proofErr w:type="gramEnd"/>
      <w:r w:rsidRPr="008C6BE4">
        <w:rPr>
          <w:rFonts w:asciiTheme="majorBidi" w:hAnsiTheme="majorBidi" w:cstheme="majorBidi"/>
          <w:color w:val="000000"/>
        </w:rPr>
        <w:t xml:space="preserve">–80. </w:t>
      </w:r>
    </w:p>
    <w:p w14:paraId="29FE8EB1" w14:textId="44B447A1" w:rsidR="00B955CE" w:rsidRPr="008C6BE4" w:rsidRDefault="00B955CE" w:rsidP="00E42138">
      <w:pPr>
        <w:pStyle w:val="NormalWeb"/>
        <w:numPr>
          <w:ilvl w:val="0"/>
          <w:numId w:val="8"/>
        </w:numPr>
        <w:ind w:left="810" w:hanging="90"/>
        <w:jc w:val="both"/>
        <w:rPr>
          <w:rFonts w:asciiTheme="majorBidi" w:hAnsiTheme="majorBidi" w:cstheme="majorBidi"/>
          <w:color w:val="000000"/>
        </w:rPr>
      </w:pPr>
      <w:proofErr w:type="spellStart"/>
      <w:r w:rsidRPr="008C6BE4">
        <w:rPr>
          <w:rFonts w:asciiTheme="majorBidi" w:hAnsiTheme="majorBidi" w:cstheme="majorBidi"/>
          <w:color w:val="000000"/>
        </w:rPr>
        <w:t>McGorry</w:t>
      </w:r>
      <w:proofErr w:type="spellEnd"/>
      <w:r w:rsidRPr="008C6BE4">
        <w:rPr>
          <w:rFonts w:asciiTheme="majorBidi" w:hAnsiTheme="majorBidi" w:cstheme="majorBidi"/>
          <w:color w:val="000000"/>
        </w:rPr>
        <w:t xml:space="preserve"> PD, </w:t>
      </w:r>
      <w:proofErr w:type="spellStart"/>
      <w:r w:rsidRPr="008C6BE4">
        <w:rPr>
          <w:rFonts w:asciiTheme="majorBidi" w:hAnsiTheme="majorBidi" w:cstheme="majorBidi"/>
          <w:color w:val="000000"/>
        </w:rPr>
        <w:t>Killackey</w:t>
      </w:r>
      <w:proofErr w:type="spellEnd"/>
      <w:r w:rsidRPr="008C6BE4">
        <w:rPr>
          <w:rFonts w:asciiTheme="majorBidi" w:hAnsiTheme="majorBidi" w:cstheme="majorBidi"/>
          <w:color w:val="000000"/>
        </w:rPr>
        <w:t xml:space="preserve"> E, Yung AR. Early intervention in psychotic disorders: detection and treatment of the </w:t>
      </w:r>
      <w:r w:rsidRPr="008C6BE4">
        <w:rPr>
          <w:rFonts w:asciiTheme="majorBidi" w:hAnsiTheme="majorBidi" w:cstheme="majorBidi"/>
          <w:color w:val="000000"/>
        </w:rPr>
        <w:t>first episode and the critical early stages. Med J Aust. 2007;187(S7</w:t>
      </w:r>
      <w:proofErr w:type="gramStart"/>
      <w:r w:rsidRPr="008C6BE4">
        <w:rPr>
          <w:rFonts w:asciiTheme="majorBidi" w:hAnsiTheme="majorBidi" w:cstheme="majorBidi"/>
          <w:color w:val="000000"/>
        </w:rPr>
        <w:t>):S</w:t>
      </w:r>
      <w:proofErr w:type="gramEnd"/>
      <w:r w:rsidRPr="008C6BE4">
        <w:rPr>
          <w:rFonts w:asciiTheme="majorBidi" w:hAnsiTheme="majorBidi" w:cstheme="majorBidi"/>
          <w:color w:val="000000"/>
        </w:rPr>
        <w:t xml:space="preserve">8-10. </w:t>
      </w:r>
    </w:p>
    <w:p w14:paraId="2541D4C0" w14:textId="10742252" w:rsidR="00B955CE" w:rsidRPr="008C6BE4" w:rsidRDefault="00B955CE" w:rsidP="00E42138">
      <w:pPr>
        <w:pStyle w:val="NormalWeb"/>
        <w:numPr>
          <w:ilvl w:val="0"/>
          <w:numId w:val="8"/>
        </w:numPr>
        <w:tabs>
          <w:tab w:val="left" w:pos="1350"/>
        </w:tabs>
        <w:ind w:firstLine="0"/>
        <w:jc w:val="both"/>
        <w:rPr>
          <w:rFonts w:asciiTheme="majorBidi" w:hAnsiTheme="majorBidi" w:cstheme="majorBidi"/>
          <w:color w:val="000000"/>
        </w:rPr>
      </w:pPr>
      <w:proofErr w:type="spellStart"/>
      <w:r w:rsidRPr="008C6BE4">
        <w:rPr>
          <w:rFonts w:asciiTheme="majorBidi" w:hAnsiTheme="majorBidi" w:cstheme="majorBidi"/>
          <w:color w:val="000000"/>
        </w:rPr>
        <w:t>Lally</w:t>
      </w:r>
      <w:proofErr w:type="spellEnd"/>
      <w:r w:rsidRPr="008C6BE4">
        <w:rPr>
          <w:rFonts w:asciiTheme="majorBidi" w:hAnsiTheme="majorBidi" w:cstheme="majorBidi"/>
          <w:color w:val="000000"/>
        </w:rPr>
        <w:t xml:space="preserve"> J, </w:t>
      </w:r>
      <w:proofErr w:type="spellStart"/>
      <w:r w:rsidRPr="008C6BE4">
        <w:rPr>
          <w:rFonts w:asciiTheme="majorBidi" w:hAnsiTheme="majorBidi" w:cstheme="majorBidi"/>
          <w:color w:val="000000"/>
        </w:rPr>
        <w:t>Ajnakina</w:t>
      </w:r>
      <w:proofErr w:type="spellEnd"/>
      <w:r w:rsidRPr="008C6BE4">
        <w:rPr>
          <w:rFonts w:asciiTheme="majorBidi" w:hAnsiTheme="majorBidi" w:cstheme="majorBidi"/>
          <w:color w:val="000000"/>
        </w:rPr>
        <w:t xml:space="preserve"> O, Stubbs B, Cullinane M, Murphy KC, </w:t>
      </w:r>
      <w:proofErr w:type="spellStart"/>
      <w:r w:rsidRPr="008C6BE4">
        <w:rPr>
          <w:rFonts w:asciiTheme="majorBidi" w:hAnsiTheme="majorBidi" w:cstheme="majorBidi"/>
          <w:color w:val="000000"/>
        </w:rPr>
        <w:t>Gaughran</w:t>
      </w:r>
      <w:proofErr w:type="spellEnd"/>
      <w:r w:rsidRPr="008C6BE4">
        <w:rPr>
          <w:rFonts w:asciiTheme="majorBidi" w:hAnsiTheme="majorBidi" w:cstheme="majorBidi"/>
          <w:color w:val="000000"/>
        </w:rPr>
        <w:t xml:space="preserve"> F, et al. Remission and recovery from first-episode psychosis in adults: systematic review and meta-analysis of long-term outcome studies. Br J Psychiatry. </w:t>
      </w:r>
      <w:proofErr w:type="gramStart"/>
      <w:r w:rsidRPr="008C6BE4">
        <w:rPr>
          <w:rFonts w:asciiTheme="majorBidi" w:hAnsiTheme="majorBidi" w:cstheme="majorBidi"/>
          <w:color w:val="000000"/>
        </w:rPr>
        <w:t>2017;211:350</w:t>
      </w:r>
      <w:proofErr w:type="gramEnd"/>
      <w:r w:rsidRPr="008C6BE4">
        <w:rPr>
          <w:rFonts w:asciiTheme="majorBidi" w:hAnsiTheme="majorBidi" w:cstheme="majorBidi"/>
          <w:color w:val="000000"/>
        </w:rPr>
        <w:t xml:space="preserve">–8. </w:t>
      </w:r>
    </w:p>
    <w:p w14:paraId="3F6DFDC9" w14:textId="34CC81C4" w:rsidR="004949D3" w:rsidRPr="008C6BE4" w:rsidRDefault="00B955CE" w:rsidP="00E42138">
      <w:pPr>
        <w:pStyle w:val="NormalWeb"/>
        <w:numPr>
          <w:ilvl w:val="0"/>
          <w:numId w:val="8"/>
        </w:numPr>
        <w:ind w:firstLine="0"/>
        <w:jc w:val="both"/>
        <w:rPr>
          <w:rFonts w:asciiTheme="majorBidi" w:hAnsiTheme="majorBidi" w:cstheme="majorBidi"/>
          <w:color w:val="000000"/>
        </w:rPr>
      </w:pPr>
      <w:proofErr w:type="spellStart"/>
      <w:r w:rsidRPr="008C6BE4">
        <w:rPr>
          <w:rFonts w:asciiTheme="majorBidi" w:hAnsiTheme="majorBidi" w:cstheme="majorBidi"/>
          <w:color w:val="000000"/>
        </w:rPr>
        <w:t>Correll</w:t>
      </w:r>
      <w:proofErr w:type="spellEnd"/>
      <w:r w:rsidRPr="008C6BE4">
        <w:rPr>
          <w:rFonts w:asciiTheme="majorBidi" w:hAnsiTheme="majorBidi" w:cstheme="majorBidi"/>
          <w:color w:val="000000"/>
        </w:rPr>
        <w:t xml:space="preserve"> CU, Howes OD. Treatment-resistant schizophrenia: definition, predictors, and therapy options. J Clin Psychiatry. 2021;82(5):96. </w:t>
      </w:r>
    </w:p>
    <w:p w14:paraId="20181035" w14:textId="7B1843F0" w:rsidR="00AB171C" w:rsidRPr="008C6BE4" w:rsidRDefault="00B955CE" w:rsidP="00E42138">
      <w:pPr>
        <w:pStyle w:val="NormalWeb"/>
        <w:numPr>
          <w:ilvl w:val="0"/>
          <w:numId w:val="8"/>
        </w:numPr>
        <w:ind w:firstLine="0"/>
        <w:jc w:val="both"/>
        <w:rPr>
          <w:rFonts w:asciiTheme="majorBidi" w:hAnsiTheme="majorBidi" w:cstheme="majorBidi"/>
        </w:rPr>
      </w:pPr>
      <w:r w:rsidRPr="008C6BE4">
        <w:rPr>
          <w:rFonts w:asciiTheme="majorBidi" w:hAnsiTheme="majorBidi" w:cstheme="majorBidi"/>
          <w:color w:val="000000"/>
        </w:rPr>
        <w:t xml:space="preserve">Keepers GA, </w:t>
      </w:r>
      <w:proofErr w:type="spellStart"/>
      <w:r w:rsidRPr="008C6BE4">
        <w:rPr>
          <w:rFonts w:asciiTheme="majorBidi" w:hAnsiTheme="majorBidi" w:cstheme="majorBidi"/>
          <w:color w:val="000000"/>
        </w:rPr>
        <w:t>Fochtmann</w:t>
      </w:r>
      <w:proofErr w:type="spellEnd"/>
      <w:r w:rsidRPr="008C6BE4">
        <w:rPr>
          <w:rFonts w:asciiTheme="majorBidi" w:hAnsiTheme="majorBidi" w:cstheme="majorBidi"/>
          <w:color w:val="000000"/>
        </w:rPr>
        <w:t xml:space="preserve"> LJ, Anzia JM, et al. The American Psychiatric Association practice guideline for the treatment of patients with schizophrenia. Am J </w:t>
      </w:r>
      <w:proofErr w:type="spellStart"/>
      <w:r w:rsidRPr="008C6BE4">
        <w:rPr>
          <w:rFonts w:asciiTheme="majorBidi" w:hAnsiTheme="majorBidi" w:cstheme="majorBidi"/>
          <w:color w:val="000000"/>
        </w:rPr>
        <w:t>Psychiatr</w:t>
      </w:r>
      <w:proofErr w:type="spellEnd"/>
      <w:r w:rsidRPr="008C6BE4">
        <w:rPr>
          <w:rFonts w:asciiTheme="majorBidi" w:hAnsiTheme="majorBidi" w:cstheme="majorBidi"/>
          <w:color w:val="000000"/>
        </w:rPr>
        <w:t xml:space="preserve">. </w:t>
      </w:r>
      <w:proofErr w:type="gramStart"/>
      <w:r w:rsidRPr="008C6BE4">
        <w:rPr>
          <w:rFonts w:asciiTheme="majorBidi" w:hAnsiTheme="majorBidi" w:cstheme="majorBidi"/>
          <w:color w:val="000000"/>
        </w:rPr>
        <w:t>2020;177:868</w:t>
      </w:r>
      <w:proofErr w:type="gramEnd"/>
      <w:r w:rsidRPr="008C6BE4">
        <w:rPr>
          <w:rFonts w:asciiTheme="majorBidi" w:hAnsiTheme="majorBidi" w:cstheme="majorBidi"/>
          <w:color w:val="000000"/>
        </w:rPr>
        <w:t xml:space="preserve">–72. </w:t>
      </w:r>
    </w:p>
    <w:sectPr w:rsidR="00AB171C" w:rsidRPr="008C6BE4" w:rsidSect="00BB25F1">
      <w:type w:val="continuous"/>
      <w:pgSz w:w="12240" w:h="15840" w:code="1"/>
      <w:pgMar w:top="720" w:right="1080" w:bottom="1440" w:left="1440" w:header="720" w:footer="720"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498D" w14:textId="77777777" w:rsidR="005770DA" w:rsidRDefault="005770DA" w:rsidP="00B2140E">
      <w:pPr>
        <w:spacing w:after="0" w:line="240" w:lineRule="auto"/>
      </w:pPr>
      <w:r>
        <w:separator/>
      </w:r>
    </w:p>
  </w:endnote>
  <w:endnote w:type="continuationSeparator" w:id="0">
    <w:p w14:paraId="77FF4BBD" w14:textId="77777777" w:rsidR="005770DA" w:rsidRDefault="005770DA" w:rsidP="00B2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3FC8" w14:textId="77777777" w:rsidR="005770DA" w:rsidRDefault="005770DA" w:rsidP="00B2140E">
      <w:pPr>
        <w:spacing w:after="0" w:line="240" w:lineRule="auto"/>
      </w:pPr>
      <w:r>
        <w:separator/>
      </w:r>
    </w:p>
  </w:footnote>
  <w:footnote w:type="continuationSeparator" w:id="0">
    <w:p w14:paraId="430DBCF3" w14:textId="77777777" w:rsidR="005770DA" w:rsidRDefault="005770DA" w:rsidP="00B21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01BFA"/>
    <w:multiLevelType w:val="hybridMultilevel"/>
    <w:tmpl w:val="E7987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546792"/>
    <w:multiLevelType w:val="hybridMultilevel"/>
    <w:tmpl w:val="409E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278A0"/>
    <w:multiLevelType w:val="hybridMultilevel"/>
    <w:tmpl w:val="C02E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517B"/>
    <w:multiLevelType w:val="hybridMultilevel"/>
    <w:tmpl w:val="2FF2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E0319"/>
    <w:multiLevelType w:val="hybridMultilevel"/>
    <w:tmpl w:val="139A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92540"/>
    <w:multiLevelType w:val="hybridMultilevel"/>
    <w:tmpl w:val="84FE9E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A84243"/>
    <w:multiLevelType w:val="multilevel"/>
    <w:tmpl w:val="850E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406A8"/>
    <w:multiLevelType w:val="hybridMultilevel"/>
    <w:tmpl w:val="3780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E63B0"/>
    <w:multiLevelType w:val="hybridMultilevel"/>
    <w:tmpl w:val="6226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4"/>
  </w:num>
  <w:num w:numId="6">
    <w:abstractNumId w:val="6"/>
  </w:num>
  <w:num w:numId="7">
    <w:abstractNumId w:val="0"/>
  </w:num>
  <w:num w:numId="8">
    <w:abstractNumId w:val="3"/>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CD"/>
    <w:rsid w:val="0001145E"/>
    <w:rsid w:val="000175F2"/>
    <w:rsid w:val="0002273E"/>
    <w:rsid w:val="00023B8C"/>
    <w:rsid w:val="000254D7"/>
    <w:rsid w:val="00044A22"/>
    <w:rsid w:val="00052775"/>
    <w:rsid w:val="000576B9"/>
    <w:rsid w:val="00063E58"/>
    <w:rsid w:val="00071763"/>
    <w:rsid w:val="0008274A"/>
    <w:rsid w:val="00090E9B"/>
    <w:rsid w:val="00091C7A"/>
    <w:rsid w:val="00094DB8"/>
    <w:rsid w:val="000972D0"/>
    <w:rsid w:val="000A354D"/>
    <w:rsid w:val="000A4ADF"/>
    <w:rsid w:val="000C0EED"/>
    <w:rsid w:val="000C3DC2"/>
    <w:rsid w:val="000E1E28"/>
    <w:rsid w:val="000E3564"/>
    <w:rsid w:val="000F098E"/>
    <w:rsid w:val="001105C8"/>
    <w:rsid w:val="00110745"/>
    <w:rsid w:val="001236E0"/>
    <w:rsid w:val="001430C4"/>
    <w:rsid w:val="001475B5"/>
    <w:rsid w:val="0015673C"/>
    <w:rsid w:val="00163438"/>
    <w:rsid w:val="001652CC"/>
    <w:rsid w:val="001702E2"/>
    <w:rsid w:val="00175059"/>
    <w:rsid w:val="00175D61"/>
    <w:rsid w:val="001770C1"/>
    <w:rsid w:val="00181027"/>
    <w:rsid w:val="0018653E"/>
    <w:rsid w:val="0019004D"/>
    <w:rsid w:val="00192EE7"/>
    <w:rsid w:val="001A4D7D"/>
    <w:rsid w:val="001B7D31"/>
    <w:rsid w:val="001C48A6"/>
    <w:rsid w:val="001D0B34"/>
    <w:rsid w:val="001D11F1"/>
    <w:rsid w:val="001D5F78"/>
    <w:rsid w:val="002054CA"/>
    <w:rsid w:val="002057CD"/>
    <w:rsid w:val="00217E16"/>
    <w:rsid w:val="002203B3"/>
    <w:rsid w:val="00232910"/>
    <w:rsid w:val="002333A7"/>
    <w:rsid w:val="00247314"/>
    <w:rsid w:val="002606A3"/>
    <w:rsid w:val="00263965"/>
    <w:rsid w:val="00272F94"/>
    <w:rsid w:val="00275024"/>
    <w:rsid w:val="002836E7"/>
    <w:rsid w:val="0029418A"/>
    <w:rsid w:val="002A1F36"/>
    <w:rsid w:val="002A2023"/>
    <w:rsid w:val="002C02B0"/>
    <w:rsid w:val="002C18B4"/>
    <w:rsid w:val="002C7740"/>
    <w:rsid w:val="002C7B90"/>
    <w:rsid w:val="002D169D"/>
    <w:rsid w:val="002D2334"/>
    <w:rsid w:val="002E4C94"/>
    <w:rsid w:val="002F66DB"/>
    <w:rsid w:val="00301776"/>
    <w:rsid w:val="00320A6B"/>
    <w:rsid w:val="0032264A"/>
    <w:rsid w:val="00325848"/>
    <w:rsid w:val="003339B4"/>
    <w:rsid w:val="00347904"/>
    <w:rsid w:val="003579CD"/>
    <w:rsid w:val="00360561"/>
    <w:rsid w:val="0036318A"/>
    <w:rsid w:val="00365387"/>
    <w:rsid w:val="00365AA0"/>
    <w:rsid w:val="00384214"/>
    <w:rsid w:val="00385A6B"/>
    <w:rsid w:val="00390FBE"/>
    <w:rsid w:val="003B4DF7"/>
    <w:rsid w:val="003C3C8F"/>
    <w:rsid w:val="003C54CE"/>
    <w:rsid w:val="003D327F"/>
    <w:rsid w:val="003D5FF7"/>
    <w:rsid w:val="003E300C"/>
    <w:rsid w:val="003E3172"/>
    <w:rsid w:val="00405103"/>
    <w:rsid w:val="0042152C"/>
    <w:rsid w:val="00425B4C"/>
    <w:rsid w:val="00425E42"/>
    <w:rsid w:val="00431090"/>
    <w:rsid w:val="00437C87"/>
    <w:rsid w:val="004418E6"/>
    <w:rsid w:val="004508D7"/>
    <w:rsid w:val="00452CE6"/>
    <w:rsid w:val="004609B0"/>
    <w:rsid w:val="00475A92"/>
    <w:rsid w:val="00475F82"/>
    <w:rsid w:val="00486A06"/>
    <w:rsid w:val="004908C1"/>
    <w:rsid w:val="0049237F"/>
    <w:rsid w:val="0049436D"/>
    <w:rsid w:val="004949D3"/>
    <w:rsid w:val="004B2EB4"/>
    <w:rsid w:val="004B3537"/>
    <w:rsid w:val="004B63A6"/>
    <w:rsid w:val="004C3373"/>
    <w:rsid w:val="004D0F8A"/>
    <w:rsid w:val="004D7EBF"/>
    <w:rsid w:val="004F02A7"/>
    <w:rsid w:val="005107EA"/>
    <w:rsid w:val="00515925"/>
    <w:rsid w:val="00517445"/>
    <w:rsid w:val="00527D94"/>
    <w:rsid w:val="00537A8F"/>
    <w:rsid w:val="00543E69"/>
    <w:rsid w:val="00544A69"/>
    <w:rsid w:val="00546025"/>
    <w:rsid w:val="00546C64"/>
    <w:rsid w:val="00554D7B"/>
    <w:rsid w:val="00557733"/>
    <w:rsid w:val="00562D48"/>
    <w:rsid w:val="005647C0"/>
    <w:rsid w:val="0057388B"/>
    <w:rsid w:val="005770DA"/>
    <w:rsid w:val="005862DF"/>
    <w:rsid w:val="005942AB"/>
    <w:rsid w:val="005A5339"/>
    <w:rsid w:val="005B18A8"/>
    <w:rsid w:val="005B2E68"/>
    <w:rsid w:val="005C05C4"/>
    <w:rsid w:val="005C7CA6"/>
    <w:rsid w:val="005D29A1"/>
    <w:rsid w:val="005D312E"/>
    <w:rsid w:val="005D3F1B"/>
    <w:rsid w:val="005D58ED"/>
    <w:rsid w:val="005D7B4F"/>
    <w:rsid w:val="005E2927"/>
    <w:rsid w:val="005F6F4F"/>
    <w:rsid w:val="0060446E"/>
    <w:rsid w:val="00617326"/>
    <w:rsid w:val="00620017"/>
    <w:rsid w:val="00626A18"/>
    <w:rsid w:val="0063482B"/>
    <w:rsid w:val="00637666"/>
    <w:rsid w:val="00637961"/>
    <w:rsid w:val="006526A9"/>
    <w:rsid w:val="0065525C"/>
    <w:rsid w:val="00662F72"/>
    <w:rsid w:val="0066382C"/>
    <w:rsid w:val="006639C9"/>
    <w:rsid w:val="00680524"/>
    <w:rsid w:val="00680A65"/>
    <w:rsid w:val="0069528C"/>
    <w:rsid w:val="006A7A7C"/>
    <w:rsid w:val="006D4925"/>
    <w:rsid w:val="006D5ECC"/>
    <w:rsid w:val="006E0F68"/>
    <w:rsid w:val="006E409E"/>
    <w:rsid w:val="006E5924"/>
    <w:rsid w:val="006F2D22"/>
    <w:rsid w:val="007147D5"/>
    <w:rsid w:val="007208B8"/>
    <w:rsid w:val="007367B6"/>
    <w:rsid w:val="00743D4D"/>
    <w:rsid w:val="007455E0"/>
    <w:rsid w:val="007727A5"/>
    <w:rsid w:val="00776C05"/>
    <w:rsid w:val="007854BB"/>
    <w:rsid w:val="007855F9"/>
    <w:rsid w:val="00796E28"/>
    <w:rsid w:val="007A1799"/>
    <w:rsid w:val="007A1974"/>
    <w:rsid w:val="007A24C7"/>
    <w:rsid w:val="007A4AD2"/>
    <w:rsid w:val="007B00D6"/>
    <w:rsid w:val="007B3CC2"/>
    <w:rsid w:val="007F49F8"/>
    <w:rsid w:val="00810EA1"/>
    <w:rsid w:val="008223FB"/>
    <w:rsid w:val="00825FAB"/>
    <w:rsid w:val="00835098"/>
    <w:rsid w:val="00845CC0"/>
    <w:rsid w:val="008470E8"/>
    <w:rsid w:val="00851D7E"/>
    <w:rsid w:val="00854A64"/>
    <w:rsid w:val="008741C3"/>
    <w:rsid w:val="008765CC"/>
    <w:rsid w:val="00880DEC"/>
    <w:rsid w:val="00882F90"/>
    <w:rsid w:val="0088571E"/>
    <w:rsid w:val="008901FA"/>
    <w:rsid w:val="008939BC"/>
    <w:rsid w:val="008A165F"/>
    <w:rsid w:val="008B0B36"/>
    <w:rsid w:val="008B0B91"/>
    <w:rsid w:val="008B6801"/>
    <w:rsid w:val="008C0DFA"/>
    <w:rsid w:val="008C2976"/>
    <w:rsid w:val="008C6B61"/>
    <w:rsid w:val="008C6BE4"/>
    <w:rsid w:val="008D37B2"/>
    <w:rsid w:val="008D611E"/>
    <w:rsid w:val="008E0341"/>
    <w:rsid w:val="008F2977"/>
    <w:rsid w:val="008F3AB8"/>
    <w:rsid w:val="008F512F"/>
    <w:rsid w:val="008F5AAB"/>
    <w:rsid w:val="00902153"/>
    <w:rsid w:val="009133BD"/>
    <w:rsid w:val="0092262D"/>
    <w:rsid w:val="009255A6"/>
    <w:rsid w:val="009331FD"/>
    <w:rsid w:val="00940CE0"/>
    <w:rsid w:val="00944258"/>
    <w:rsid w:val="00944F46"/>
    <w:rsid w:val="009523D3"/>
    <w:rsid w:val="00953614"/>
    <w:rsid w:val="009563DB"/>
    <w:rsid w:val="00964D51"/>
    <w:rsid w:val="009740F4"/>
    <w:rsid w:val="00990E0D"/>
    <w:rsid w:val="0099115B"/>
    <w:rsid w:val="00992681"/>
    <w:rsid w:val="009A0BA2"/>
    <w:rsid w:val="009A12B0"/>
    <w:rsid w:val="009A2EE8"/>
    <w:rsid w:val="009A518F"/>
    <w:rsid w:val="009B0EA5"/>
    <w:rsid w:val="009C1B97"/>
    <w:rsid w:val="009C78B7"/>
    <w:rsid w:val="009D00B1"/>
    <w:rsid w:val="009E1BCE"/>
    <w:rsid w:val="00A05847"/>
    <w:rsid w:val="00A22045"/>
    <w:rsid w:val="00A32CF8"/>
    <w:rsid w:val="00A34682"/>
    <w:rsid w:val="00A45461"/>
    <w:rsid w:val="00A52CA8"/>
    <w:rsid w:val="00A5416B"/>
    <w:rsid w:val="00A60110"/>
    <w:rsid w:val="00A6373F"/>
    <w:rsid w:val="00A65C75"/>
    <w:rsid w:val="00A675B9"/>
    <w:rsid w:val="00A8113D"/>
    <w:rsid w:val="00A8241B"/>
    <w:rsid w:val="00A828E8"/>
    <w:rsid w:val="00A83B89"/>
    <w:rsid w:val="00A85726"/>
    <w:rsid w:val="00A90F8B"/>
    <w:rsid w:val="00A91467"/>
    <w:rsid w:val="00A91D2F"/>
    <w:rsid w:val="00AA1CA3"/>
    <w:rsid w:val="00AA346E"/>
    <w:rsid w:val="00AA4FD9"/>
    <w:rsid w:val="00AB09D0"/>
    <w:rsid w:val="00AB171C"/>
    <w:rsid w:val="00AB18CA"/>
    <w:rsid w:val="00AB24A0"/>
    <w:rsid w:val="00AB418A"/>
    <w:rsid w:val="00AD17C4"/>
    <w:rsid w:val="00AE4368"/>
    <w:rsid w:val="00AE7EA1"/>
    <w:rsid w:val="00AF1B27"/>
    <w:rsid w:val="00AF4418"/>
    <w:rsid w:val="00B006E6"/>
    <w:rsid w:val="00B008DD"/>
    <w:rsid w:val="00B07ACA"/>
    <w:rsid w:val="00B2140E"/>
    <w:rsid w:val="00B21979"/>
    <w:rsid w:val="00B32C54"/>
    <w:rsid w:val="00B34E3C"/>
    <w:rsid w:val="00B36797"/>
    <w:rsid w:val="00B36BA4"/>
    <w:rsid w:val="00B41E68"/>
    <w:rsid w:val="00B60DEB"/>
    <w:rsid w:val="00B65A74"/>
    <w:rsid w:val="00B75725"/>
    <w:rsid w:val="00B75AD7"/>
    <w:rsid w:val="00B86E72"/>
    <w:rsid w:val="00B94321"/>
    <w:rsid w:val="00B955CE"/>
    <w:rsid w:val="00BA39FE"/>
    <w:rsid w:val="00BA4801"/>
    <w:rsid w:val="00BB010D"/>
    <w:rsid w:val="00BB25F1"/>
    <w:rsid w:val="00BB5B5A"/>
    <w:rsid w:val="00BB68A1"/>
    <w:rsid w:val="00BD2A25"/>
    <w:rsid w:val="00BD5FBC"/>
    <w:rsid w:val="00BD62B9"/>
    <w:rsid w:val="00BF4411"/>
    <w:rsid w:val="00BF60B7"/>
    <w:rsid w:val="00C1197D"/>
    <w:rsid w:val="00C206BF"/>
    <w:rsid w:val="00C22455"/>
    <w:rsid w:val="00C23328"/>
    <w:rsid w:val="00C3094B"/>
    <w:rsid w:val="00C353AF"/>
    <w:rsid w:val="00C44BFE"/>
    <w:rsid w:val="00C51D2D"/>
    <w:rsid w:val="00C52FBE"/>
    <w:rsid w:val="00C61233"/>
    <w:rsid w:val="00C64D60"/>
    <w:rsid w:val="00C73810"/>
    <w:rsid w:val="00C82B94"/>
    <w:rsid w:val="00C91E55"/>
    <w:rsid w:val="00C92163"/>
    <w:rsid w:val="00CA53DA"/>
    <w:rsid w:val="00CB385B"/>
    <w:rsid w:val="00CB3D33"/>
    <w:rsid w:val="00CB4936"/>
    <w:rsid w:val="00CB788E"/>
    <w:rsid w:val="00CC09EC"/>
    <w:rsid w:val="00CC44B5"/>
    <w:rsid w:val="00CC7CFA"/>
    <w:rsid w:val="00CF2468"/>
    <w:rsid w:val="00CF27C6"/>
    <w:rsid w:val="00CF4F20"/>
    <w:rsid w:val="00D0042A"/>
    <w:rsid w:val="00D12926"/>
    <w:rsid w:val="00D1445B"/>
    <w:rsid w:val="00D15985"/>
    <w:rsid w:val="00D21AB2"/>
    <w:rsid w:val="00D2365C"/>
    <w:rsid w:val="00D40AD5"/>
    <w:rsid w:val="00D601E9"/>
    <w:rsid w:val="00D65A5C"/>
    <w:rsid w:val="00D75BAA"/>
    <w:rsid w:val="00D800E0"/>
    <w:rsid w:val="00D812FC"/>
    <w:rsid w:val="00D81E63"/>
    <w:rsid w:val="00D83753"/>
    <w:rsid w:val="00D90429"/>
    <w:rsid w:val="00D96995"/>
    <w:rsid w:val="00DC0E8D"/>
    <w:rsid w:val="00DC54A2"/>
    <w:rsid w:val="00DC71F7"/>
    <w:rsid w:val="00DE231A"/>
    <w:rsid w:val="00E11C9B"/>
    <w:rsid w:val="00E12BEF"/>
    <w:rsid w:val="00E225B4"/>
    <w:rsid w:val="00E25D02"/>
    <w:rsid w:val="00E26103"/>
    <w:rsid w:val="00E32F79"/>
    <w:rsid w:val="00E33839"/>
    <w:rsid w:val="00E360C7"/>
    <w:rsid w:val="00E42138"/>
    <w:rsid w:val="00E4600F"/>
    <w:rsid w:val="00E46516"/>
    <w:rsid w:val="00E4700E"/>
    <w:rsid w:val="00E50FE1"/>
    <w:rsid w:val="00E51996"/>
    <w:rsid w:val="00E75664"/>
    <w:rsid w:val="00E83E22"/>
    <w:rsid w:val="00E914FF"/>
    <w:rsid w:val="00E949FB"/>
    <w:rsid w:val="00E9672F"/>
    <w:rsid w:val="00EA41D5"/>
    <w:rsid w:val="00EC14D0"/>
    <w:rsid w:val="00EC15F1"/>
    <w:rsid w:val="00EC593A"/>
    <w:rsid w:val="00EC6D57"/>
    <w:rsid w:val="00ED16A4"/>
    <w:rsid w:val="00ED2EDF"/>
    <w:rsid w:val="00ED39AC"/>
    <w:rsid w:val="00ED3D78"/>
    <w:rsid w:val="00EE77F5"/>
    <w:rsid w:val="00EF64E6"/>
    <w:rsid w:val="00EF6523"/>
    <w:rsid w:val="00F020B3"/>
    <w:rsid w:val="00F108DB"/>
    <w:rsid w:val="00F14193"/>
    <w:rsid w:val="00F20CBC"/>
    <w:rsid w:val="00F22A2E"/>
    <w:rsid w:val="00F26F09"/>
    <w:rsid w:val="00F338F3"/>
    <w:rsid w:val="00F3575C"/>
    <w:rsid w:val="00F35DCA"/>
    <w:rsid w:val="00F426DF"/>
    <w:rsid w:val="00F4352D"/>
    <w:rsid w:val="00F46047"/>
    <w:rsid w:val="00F51658"/>
    <w:rsid w:val="00F75BBB"/>
    <w:rsid w:val="00F77E46"/>
    <w:rsid w:val="00F824F7"/>
    <w:rsid w:val="00F866A9"/>
    <w:rsid w:val="00FA1033"/>
    <w:rsid w:val="00FA3043"/>
    <w:rsid w:val="00FA4D27"/>
    <w:rsid w:val="00FB11A0"/>
    <w:rsid w:val="00FC5472"/>
    <w:rsid w:val="00FE38EE"/>
    <w:rsid w:val="00FF3E39"/>
    <w:rsid w:val="00FF7958"/>
    <w:rsid w:val="00FF7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0B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11E"/>
  </w:style>
  <w:style w:type="paragraph" w:styleId="Heading1">
    <w:name w:val="heading 1"/>
    <w:basedOn w:val="Normal"/>
    <w:next w:val="Normal"/>
    <w:link w:val="Heading1Char"/>
    <w:uiPriority w:val="9"/>
    <w:qFormat/>
    <w:rsid w:val="008D3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6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2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0341"/>
    <w:pPr>
      <w:ind w:left="720"/>
      <w:contextualSpacing/>
    </w:pPr>
  </w:style>
  <w:style w:type="character" w:styleId="Emphasis">
    <w:name w:val="Emphasis"/>
    <w:basedOn w:val="DefaultParagraphFont"/>
    <w:uiPriority w:val="20"/>
    <w:qFormat/>
    <w:rsid w:val="004B2EB4"/>
    <w:rPr>
      <w:i/>
      <w:iCs/>
    </w:rPr>
  </w:style>
  <w:style w:type="table" w:styleId="TableGrid">
    <w:name w:val="Table Grid"/>
    <w:basedOn w:val="TableNormal"/>
    <w:uiPriority w:val="39"/>
    <w:rsid w:val="00FE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A1974"/>
    <w:rPr>
      <w:color w:val="0000FF"/>
      <w:u w:val="single"/>
    </w:rPr>
  </w:style>
  <w:style w:type="character" w:customStyle="1" w:styleId="bullet">
    <w:name w:val="bullet"/>
    <w:basedOn w:val="DefaultParagraphFont"/>
    <w:rsid w:val="007A1974"/>
  </w:style>
  <w:style w:type="character" w:customStyle="1" w:styleId="author">
    <w:name w:val="author"/>
    <w:basedOn w:val="DefaultParagraphFont"/>
    <w:rsid w:val="007A1974"/>
  </w:style>
  <w:style w:type="character" w:customStyle="1" w:styleId="pubyear">
    <w:name w:val="pubyear"/>
    <w:basedOn w:val="DefaultParagraphFont"/>
    <w:rsid w:val="007A1974"/>
  </w:style>
  <w:style w:type="character" w:customStyle="1" w:styleId="vol">
    <w:name w:val="vol"/>
    <w:basedOn w:val="DefaultParagraphFont"/>
    <w:rsid w:val="007A1974"/>
  </w:style>
  <w:style w:type="character" w:customStyle="1" w:styleId="pagefirst">
    <w:name w:val="pagefirst"/>
    <w:basedOn w:val="DefaultParagraphFont"/>
    <w:rsid w:val="007A1974"/>
  </w:style>
  <w:style w:type="character" w:customStyle="1" w:styleId="pagelast">
    <w:name w:val="pagelast"/>
    <w:basedOn w:val="DefaultParagraphFont"/>
    <w:rsid w:val="007A1974"/>
  </w:style>
  <w:style w:type="character" w:customStyle="1" w:styleId="articletitle">
    <w:name w:val="articletitle"/>
    <w:basedOn w:val="DefaultParagraphFont"/>
    <w:rsid w:val="007A1974"/>
  </w:style>
  <w:style w:type="character" w:customStyle="1" w:styleId="citedissue">
    <w:name w:val="citedissue"/>
    <w:basedOn w:val="DefaultParagraphFont"/>
    <w:rsid w:val="007A1974"/>
  </w:style>
  <w:style w:type="paragraph" w:styleId="Header">
    <w:name w:val="header"/>
    <w:basedOn w:val="Normal"/>
    <w:link w:val="HeaderChar"/>
    <w:uiPriority w:val="99"/>
    <w:unhideWhenUsed/>
    <w:rsid w:val="00B2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0E"/>
  </w:style>
  <w:style w:type="paragraph" w:styleId="Footer">
    <w:name w:val="footer"/>
    <w:basedOn w:val="Normal"/>
    <w:link w:val="FooterChar"/>
    <w:uiPriority w:val="99"/>
    <w:unhideWhenUsed/>
    <w:rsid w:val="00B2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0E"/>
  </w:style>
  <w:style w:type="table" w:styleId="GridTable1Light-Accent3">
    <w:name w:val="Grid Table 1 Light Accent 3"/>
    <w:basedOn w:val="TableNormal"/>
    <w:uiPriority w:val="46"/>
    <w:rsid w:val="00C82B9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37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6025"/>
    <w:rPr>
      <w:rFonts w:asciiTheme="majorHAnsi" w:eastAsiaTheme="majorEastAsia" w:hAnsiTheme="majorHAnsi" w:cstheme="majorBidi"/>
      <w:color w:val="2F5496" w:themeColor="accent1" w:themeShade="BF"/>
      <w:sz w:val="26"/>
      <w:szCs w:val="26"/>
    </w:rPr>
  </w:style>
  <w:style w:type="table" w:styleId="ListTable3-Accent3">
    <w:name w:val="List Table 3 Accent 3"/>
    <w:basedOn w:val="TableNormal"/>
    <w:uiPriority w:val="48"/>
    <w:rsid w:val="001105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alloonText">
    <w:name w:val="Balloon Text"/>
    <w:basedOn w:val="Normal"/>
    <w:link w:val="BalloonTextChar"/>
    <w:uiPriority w:val="99"/>
    <w:semiHidden/>
    <w:unhideWhenUsed/>
    <w:rsid w:val="000C0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874454">
      <w:bodyDiv w:val="1"/>
      <w:marLeft w:val="0"/>
      <w:marRight w:val="0"/>
      <w:marTop w:val="0"/>
      <w:marBottom w:val="0"/>
      <w:divBdr>
        <w:top w:val="none" w:sz="0" w:space="0" w:color="auto"/>
        <w:left w:val="none" w:sz="0" w:space="0" w:color="auto"/>
        <w:bottom w:val="none" w:sz="0" w:space="0" w:color="auto"/>
        <w:right w:val="none" w:sz="0" w:space="0" w:color="auto"/>
      </w:divBdr>
    </w:div>
    <w:div w:id="957106755">
      <w:bodyDiv w:val="1"/>
      <w:marLeft w:val="0"/>
      <w:marRight w:val="0"/>
      <w:marTop w:val="0"/>
      <w:marBottom w:val="0"/>
      <w:divBdr>
        <w:top w:val="none" w:sz="0" w:space="0" w:color="auto"/>
        <w:left w:val="none" w:sz="0" w:space="0" w:color="auto"/>
        <w:bottom w:val="none" w:sz="0" w:space="0" w:color="auto"/>
        <w:right w:val="none" w:sz="0" w:space="0" w:color="auto"/>
      </w:divBdr>
    </w:div>
    <w:div w:id="9822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997D-E20E-451B-9550-F3432F0D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2025-07-06T10:50:00Z</dcterms:created>
  <dcterms:modified xsi:type="dcterms:W3CDTF">2025-07-07T11:51:00Z</dcterms:modified>
</cp:coreProperties>
</file>